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rFonts w:eastAsia="Calibri"/>
          <w:i/>
          <w:sz w:val="24"/>
          <w:szCs w:val="24"/>
        </w:rPr>
      </w:pPr>
      <w:r>
        <w:rPr>
          <w:rFonts w:eastAsia="Calibri"/>
          <w:i/>
          <w:sz w:val="24"/>
          <w:szCs w:val="24"/>
        </w:rPr>
        <w:t xml:space="preserve">Приложение № 1 к извещению </w:t>
      </w:r>
    </w:p>
    <w:p>
      <w:pPr>
        <w:jc w:val="right"/>
        <w:rPr>
          <w:rFonts w:eastAsia="Calibri"/>
          <w:i/>
          <w:sz w:val="24"/>
          <w:szCs w:val="24"/>
        </w:rPr>
      </w:pPr>
      <w:r>
        <w:rPr>
          <w:rFonts w:eastAsia="Calibri"/>
          <w:i/>
          <w:sz w:val="24"/>
          <w:szCs w:val="24"/>
        </w:rPr>
        <w:t>о проведении закупки</w:t>
      </w:r>
    </w:p>
    <w:p>
      <w:pPr>
        <w:pStyle w:val="Web"/>
        <w:snapToGrid w:val="0"/>
        <w:spacing w:before="0" w:after="0"/>
        <w:ind w:right="-1"/>
        <w:jc w:val="center"/>
        <w:rPr>
          <w:rFonts w:ascii="Times New Roman" w:hAnsi="Times New Roman" w:cs="Times New Roman"/>
          <w:b/>
        </w:rPr>
      </w:pPr>
    </w:p>
    <w:p>
      <w:pPr>
        <w:ind w:right="-853"/>
        <w:rPr>
          <w:b/>
          <w:sz w:val="24"/>
          <w:szCs w:val="24"/>
        </w:rPr>
      </w:pPr>
    </w:p>
    <w:p>
      <w:pPr>
        <w:pStyle w:val="Web"/>
        <w:snapToGrid w:val="0"/>
        <w:spacing w:before="0" w:after="0"/>
        <w:ind w:right="-1"/>
        <w:jc w:val="center"/>
        <w:rPr>
          <w:rFonts w:ascii="Times New Roman" w:hAnsi="Times New Roman" w:cs="Times New Roman"/>
          <w:b/>
        </w:rPr>
      </w:pPr>
      <w:r>
        <w:rPr>
          <w:rFonts w:ascii="Times New Roman" w:hAnsi="Times New Roman" w:cs="Times New Roman"/>
          <w:b/>
        </w:rPr>
        <w:t>Описание объекта закупки (техническое задание) на поставку</w:t>
      </w:r>
    </w:p>
    <w:p>
      <w:pPr>
        <w:tabs>
          <w:tab w:val="left" w:pos="6237"/>
        </w:tabs>
        <w:snapToGrid w:val="0"/>
        <w:ind w:right="-1"/>
        <w:jc w:val="center"/>
        <w:rPr>
          <w:b/>
          <w:sz w:val="24"/>
          <w:szCs w:val="24"/>
        </w:rPr>
      </w:pPr>
      <w:r>
        <w:rPr>
          <w:b/>
          <w:sz w:val="24"/>
          <w:szCs w:val="24"/>
        </w:rPr>
        <w:t>противопролежневых матрацев и подушек (далее – Товар)</w:t>
      </w:r>
    </w:p>
    <w:p>
      <w:pPr>
        <w:tabs>
          <w:tab w:val="left" w:pos="6237"/>
        </w:tabs>
        <w:snapToGrid w:val="0"/>
        <w:ind w:right="-1"/>
        <w:jc w:val="center"/>
        <w:rPr>
          <w:b/>
          <w:sz w:val="24"/>
          <w:szCs w:val="24"/>
        </w:rPr>
      </w:pPr>
      <w:r>
        <w:rPr>
          <w:b/>
          <w:sz w:val="24"/>
          <w:szCs w:val="24"/>
        </w:rPr>
        <w:t xml:space="preserve"> для социального обеспечения граждан (далее –Получатели) в 2024 году</w:t>
      </w:r>
    </w:p>
    <w:p>
      <w:pPr>
        <w:jc w:val="both"/>
        <w:rPr>
          <w:sz w:val="24"/>
          <w:szCs w:val="28"/>
        </w:rPr>
      </w:pPr>
    </w:p>
    <w:p>
      <w:pPr>
        <w:jc w:val="both"/>
        <w:rPr>
          <w:sz w:val="24"/>
          <w:szCs w:val="24"/>
        </w:rPr>
      </w:pPr>
      <w:r>
        <w:rPr>
          <w:b/>
          <w:sz w:val="24"/>
          <w:szCs w:val="24"/>
        </w:rPr>
        <w:t>Срок поставки Товара Получателям:</w:t>
      </w:r>
      <w:r>
        <w:rPr>
          <w:sz w:val="24"/>
          <w:szCs w:val="24"/>
        </w:rPr>
        <w:t xml:space="preserve"> с даты получения от Заказчика реестра получателей Товара до 30.09.2024 года включительно.</w:t>
      </w:r>
    </w:p>
    <w:p>
      <w:pPr>
        <w:jc w:val="both"/>
        <w:rPr>
          <w:sz w:val="24"/>
          <w:szCs w:val="24"/>
        </w:rPr>
      </w:pPr>
    </w:p>
    <w:p>
      <w:pPr>
        <w:jc w:val="both"/>
        <w:rPr>
          <w:sz w:val="24"/>
          <w:szCs w:val="24"/>
        </w:rPr>
      </w:pPr>
      <w:r>
        <w:rPr>
          <w:b/>
          <w:sz w:val="24"/>
          <w:szCs w:val="24"/>
        </w:rPr>
        <w:t>Место доставки товара:</w:t>
      </w:r>
      <w:r>
        <w:rPr>
          <w:sz w:val="24"/>
          <w:szCs w:val="24"/>
        </w:rPr>
        <w:t xml:space="preserve"> Ленинградская область.</w:t>
      </w:r>
    </w:p>
    <w:p>
      <w:pPr>
        <w:jc w:val="both"/>
        <w:rPr>
          <w:sz w:val="24"/>
          <w:szCs w:val="24"/>
        </w:rPr>
      </w:pPr>
    </w:p>
    <w:p>
      <w:pPr>
        <w:jc w:val="both"/>
        <w:rPr>
          <w:b/>
          <w:sz w:val="24"/>
          <w:szCs w:val="24"/>
        </w:rPr>
      </w:pPr>
      <w:r>
        <w:rPr>
          <w:b/>
          <w:sz w:val="24"/>
          <w:szCs w:val="24"/>
        </w:rPr>
        <w:t xml:space="preserve">Место жительства (место пребывания, фактического проживания) Получателей: </w:t>
      </w:r>
    </w:p>
    <w:p>
      <w:pPr>
        <w:jc w:val="both"/>
        <w:rPr>
          <w:sz w:val="24"/>
          <w:szCs w:val="24"/>
        </w:rPr>
      </w:pPr>
      <w:r>
        <w:rPr>
          <w:sz w:val="24"/>
          <w:szCs w:val="24"/>
        </w:rPr>
        <w:t xml:space="preserve">Ленинградская область. </w:t>
      </w:r>
    </w:p>
    <w:p>
      <w:pPr>
        <w:jc w:val="both"/>
        <w:rPr>
          <w:sz w:val="24"/>
          <w:szCs w:val="24"/>
        </w:rPr>
      </w:pPr>
    </w:p>
    <w:p>
      <w:pPr>
        <w:numPr>
          <w:ilvl w:val="0"/>
          <w:numId w:val="1"/>
        </w:numPr>
        <w:ind w:left="0" w:firstLine="426"/>
        <w:contextualSpacing/>
        <w:jc w:val="both"/>
        <w:rPr>
          <w:sz w:val="24"/>
          <w:szCs w:val="24"/>
        </w:rPr>
      </w:pPr>
      <w:r>
        <w:rPr>
          <w:sz w:val="24"/>
          <w:szCs w:val="24"/>
        </w:rPr>
        <w:t>Поставщик обязан обеспечить поступление Товара по наименованию, в количестве и в сроки, определенные календарным планом:</w:t>
      </w:r>
    </w:p>
    <w:p>
      <w:pPr>
        <w:ind w:left="720"/>
        <w:contextualSpacing/>
        <w:jc w:val="both"/>
        <w:rPr>
          <w:sz w:val="24"/>
          <w:szCs w:val="24"/>
        </w:rPr>
      </w:pPr>
    </w:p>
    <w:tbl>
      <w:tblPr>
        <w:tblW w:w="956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7"/>
        <w:gridCol w:w="4678"/>
        <w:gridCol w:w="1701"/>
      </w:tblGrid>
      <w:tr>
        <w:trPr>
          <w:trHeight w:val="20"/>
        </w:trPr>
        <w:tc>
          <w:tcPr>
            <w:tcW w:w="454" w:type="dxa"/>
          </w:tcPr>
          <w:p>
            <w:pPr>
              <w:autoSpaceDE w:val="0"/>
              <w:autoSpaceDN w:val="0"/>
              <w:adjustRightInd w:val="0"/>
              <w:rPr>
                <w:sz w:val="24"/>
              </w:rPr>
            </w:pPr>
            <w:r>
              <w:rPr>
                <w:sz w:val="24"/>
              </w:rPr>
              <w:t>№ п/п</w:t>
            </w:r>
          </w:p>
        </w:tc>
        <w:tc>
          <w:tcPr>
            <w:tcW w:w="2727" w:type="dxa"/>
          </w:tcPr>
          <w:p>
            <w:pPr>
              <w:autoSpaceDE w:val="0"/>
              <w:autoSpaceDN w:val="0"/>
              <w:adjustRightInd w:val="0"/>
              <w:rPr>
                <w:sz w:val="24"/>
              </w:rPr>
            </w:pPr>
            <w:r>
              <w:rPr>
                <w:sz w:val="24"/>
              </w:rPr>
              <w:t>Наименование Товара</w:t>
            </w:r>
          </w:p>
        </w:tc>
        <w:tc>
          <w:tcPr>
            <w:tcW w:w="4678" w:type="dxa"/>
          </w:tcPr>
          <w:p>
            <w:pPr>
              <w:autoSpaceDE w:val="0"/>
              <w:autoSpaceDN w:val="0"/>
              <w:adjustRightInd w:val="0"/>
              <w:rPr>
                <w:sz w:val="24"/>
              </w:rPr>
            </w:pPr>
            <w:r>
              <w:rPr>
                <w:sz w:val="24"/>
              </w:rPr>
              <w:t xml:space="preserve">Периоды поставки </w:t>
            </w:r>
            <w:r>
              <w:rPr>
                <w:color w:val="000000" w:themeColor="text1"/>
                <w:sz w:val="24"/>
              </w:rPr>
              <w:t>на 2024 год</w:t>
            </w:r>
          </w:p>
        </w:tc>
        <w:tc>
          <w:tcPr>
            <w:tcW w:w="1701" w:type="dxa"/>
          </w:tcPr>
          <w:p>
            <w:pPr>
              <w:autoSpaceDE w:val="0"/>
              <w:autoSpaceDN w:val="0"/>
              <w:adjustRightInd w:val="0"/>
              <w:rPr>
                <w:sz w:val="24"/>
              </w:rPr>
            </w:pPr>
            <w:r>
              <w:rPr>
                <w:sz w:val="24"/>
              </w:rPr>
              <w:t>Количество</w:t>
            </w:r>
          </w:p>
          <w:p>
            <w:pPr>
              <w:autoSpaceDE w:val="0"/>
              <w:autoSpaceDN w:val="0"/>
              <w:adjustRightInd w:val="0"/>
              <w:rPr>
                <w:sz w:val="24"/>
              </w:rPr>
            </w:pPr>
            <w:r>
              <w:rPr>
                <w:sz w:val="24"/>
              </w:rPr>
              <w:t>(шт.)</w:t>
            </w:r>
          </w:p>
        </w:tc>
      </w:tr>
      <w:tr>
        <w:trPr>
          <w:trHeight w:val="20"/>
        </w:trPr>
        <w:tc>
          <w:tcPr>
            <w:tcW w:w="454" w:type="dxa"/>
            <w:vMerge w:val="restart"/>
          </w:tcPr>
          <w:p>
            <w:pPr>
              <w:autoSpaceDE w:val="0"/>
              <w:autoSpaceDN w:val="0"/>
              <w:adjustRightInd w:val="0"/>
              <w:rPr>
                <w:b/>
                <w:sz w:val="24"/>
              </w:rPr>
            </w:pPr>
            <w:r>
              <w:rPr>
                <w:b/>
                <w:sz w:val="24"/>
              </w:rPr>
              <w:t>1</w:t>
            </w:r>
          </w:p>
        </w:tc>
        <w:tc>
          <w:tcPr>
            <w:tcW w:w="2727" w:type="dxa"/>
            <w:vMerge w:val="restart"/>
          </w:tcPr>
          <w:p>
            <w:pPr>
              <w:autoSpaceDE w:val="0"/>
              <w:autoSpaceDN w:val="0"/>
              <w:adjustRightInd w:val="0"/>
              <w:rPr>
                <w:b/>
                <w:sz w:val="24"/>
              </w:rPr>
            </w:pPr>
            <w:r>
              <w:rPr>
                <w:bCs/>
                <w:sz w:val="24"/>
              </w:rPr>
              <w:t>Противопролежневый матрац воздушный (с компрессором)</w:t>
            </w:r>
          </w:p>
        </w:tc>
        <w:tc>
          <w:tcPr>
            <w:tcW w:w="4678" w:type="dxa"/>
            <w:vAlign w:val="center"/>
          </w:tcPr>
          <w:p>
            <w:pPr>
              <w:autoSpaceDE w:val="0"/>
              <w:autoSpaceDN w:val="0"/>
              <w:adjustRightInd w:val="0"/>
              <w:rPr>
                <w:b/>
                <w:sz w:val="24"/>
              </w:rPr>
            </w:pPr>
            <w:r>
              <w:rPr>
                <w:color w:val="000000" w:themeColor="text1"/>
                <w:sz w:val="24"/>
              </w:rPr>
              <w:t>В течение 2 (двух) рабочих дней с даты заключения государственного контракта.</w:t>
            </w:r>
          </w:p>
        </w:tc>
        <w:tc>
          <w:tcPr>
            <w:tcW w:w="1701" w:type="dxa"/>
          </w:tcPr>
          <w:p>
            <w:pPr>
              <w:tabs>
                <w:tab w:val="left" w:pos="570"/>
                <w:tab w:val="center" w:pos="770"/>
              </w:tabs>
              <w:autoSpaceDE w:val="0"/>
              <w:autoSpaceDN w:val="0"/>
              <w:adjustRightInd w:val="0"/>
              <w:jc w:val="center"/>
              <w:rPr>
                <w:sz w:val="24"/>
              </w:rPr>
            </w:pPr>
            <w:r>
              <w:rPr>
                <w:sz w:val="24"/>
              </w:rPr>
              <w:t>40</w:t>
            </w:r>
          </w:p>
        </w:tc>
      </w:tr>
      <w:tr>
        <w:trPr>
          <w:trHeight w:val="20"/>
        </w:trPr>
        <w:tc>
          <w:tcPr>
            <w:tcW w:w="454" w:type="dxa"/>
            <w:vMerge/>
          </w:tcPr>
          <w:p>
            <w:pPr>
              <w:autoSpaceDE w:val="0"/>
              <w:autoSpaceDN w:val="0"/>
              <w:adjustRightInd w:val="0"/>
              <w:rPr>
                <w:b/>
                <w:sz w:val="24"/>
              </w:rPr>
            </w:pPr>
          </w:p>
        </w:tc>
        <w:tc>
          <w:tcPr>
            <w:tcW w:w="2727" w:type="dxa"/>
            <w:vMerge/>
          </w:tcPr>
          <w:p>
            <w:pPr>
              <w:autoSpaceDE w:val="0"/>
              <w:autoSpaceDN w:val="0"/>
              <w:adjustRightInd w:val="0"/>
              <w:jc w:val="right"/>
              <w:rPr>
                <w:b/>
                <w:sz w:val="24"/>
              </w:rPr>
            </w:pPr>
          </w:p>
        </w:tc>
        <w:tc>
          <w:tcPr>
            <w:tcW w:w="4678" w:type="dxa"/>
            <w:vAlign w:val="center"/>
          </w:tcPr>
          <w:p>
            <w:pPr>
              <w:rPr>
                <w:sz w:val="24"/>
              </w:rPr>
            </w:pPr>
            <w:r>
              <w:rPr>
                <w:sz w:val="24"/>
              </w:rPr>
              <w:t>В течение 15 (пятнадцати) календарных дней с момента заключения</w:t>
            </w:r>
          </w:p>
          <w:p>
            <w:pPr>
              <w:autoSpaceDE w:val="0"/>
              <w:autoSpaceDN w:val="0"/>
              <w:adjustRightInd w:val="0"/>
              <w:rPr>
                <w:b/>
                <w:sz w:val="24"/>
              </w:rPr>
            </w:pPr>
            <w:r>
              <w:rPr>
                <w:sz w:val="24"/>
              </w:rPr>
              <w:t>государственного контракта</w:t>
            </w:r>
          </w:p>
        </w:tc>
        <w:tc>
          <w:tcPr>
            <w:tcW w:w="1701" w:type="dxa"/>
          </w:tcPr>
          <w:p>
            <w:pPr>
              <w:tabs>
                <w:tab w:val="left" w:pos="570"/>
                <w:tab w:val="center" w:pos="770"/>
              </w:tabs>
              <w:autoSpaceDE w:val="0"/>
              <w:autoSpaceDN w:val="0"/>
              <w:adjustRightInd w:val="0"/>
              <w:jc w:val="center"/>
              <w:rPr>
                <w:sz w:val="24"/>
              </w:rPr>
            </w:pPr>
            <w:r>
              <w:rPr>
                <w:sz w:val="24"/>
              </w:rPr>
              <w:t>230</w:t>
            </w:r>
          </w:p>
        </w:tc>
      </w:tr>
      <w:tr>
        <w:trPr>
          <w:trHeight w:val="20"/>
        </w:trPr>
        <w:tc>
          <w:tcPr>
            <w:tcW w:w="454" w:type="dxa"/>
            <w:vMerge w:val="restart"/>
          </w:tcPr>
          <w:p>
            <w:pPr>
              <w:autoSpaceDE w:val="0"/>
              <w:autoSpaceDN w:val="0"/>
              <w:adjustRightInd w:val="0"/>
              <w:rPr>
                <w:b/>
                <w:sz w:val="24"/>
              </w:rPr>
            </w:pPr>
            <w:r>
              <w:rPr>
                <w:b/>
                <w:sz w:val="24"/>
              </w:rPr>
              <w:t>2</w:t>
            </w:r>
          </w:p>
        </w:tc>
        <w:tc>
          <w:tcPr>
            <w:tcW w:w="2727" w:type="dxa"/>
            <w:vMerge w:val="restart"/>
          </w:tcPr>
          <w:p>
            <w:pPr>
              <w:snapToGrid w:val="0"/>
              <w:ind w:right="135"/>
              <w:rPr>
                <w:sz w:val="24"/>
              </w:rPr>
            </w:pPr>
            <w:r>
              <w:rPr>
                <w:sz w:val="24"/>
              </w:rPr>
              <w:t>Противопролежневая</w:t>
            </w:r>
          </w:p>
          <w:p>
            <w:pPr>
              <w:autoSpaceDE w:val="0"/>
              <w:autoSpaceDN w:val="0"/>
              <w:adjustRightInd w:val="0"/>
              <w:rPr>
                <w:b/>
                <w:sz w:val="24"/>
              </w:rPr>
            </w:pPr>
            <w:r>
              <w:rPr>
                <w:sz w:val="24"/>
              </w:rPr>
              <w:t>подушка гелевая</w:t>
            </w:r>
          </w:p>
        </w:tc>
        <w:tc>
          <w:tcPr>
            <w:tcW w:w="4678" w:type="dxa"/>
            <w:vAlign w:val="center"/>
          </w:tcPr>
          <w:p>
            <w:pPr>
              <w:autoSpaceDE w:val="0"/>
              <w:autoSpaceDN w:val="0"/>
              <w:adjustRightInd w:val="0"/>
              <w:rPr>
                <w:b/>
                <w:sz w:val="24"/>
              </w:rPr>
            </w:pPr>
            <w:r>
              <w:rPr>
                <w:color w:val="000000" w:themeColor="text1"/>
                <w:sz w:val="24"/>
              </w:rPr>
              <w:t>В течение 2 (двух) рабочих дней с даты заключения государственного контракта.</w:t>
            </w:r>
          </w:p>
        </w:tc>
        <w:tc>
          <w:tcPr>
            <w:tcW w:w="1701" w:type="dxa"/>
          </w:tcPr>
          <w:p>
            <w:pPr>
              <w:tabs>
                <w:tab w:val="left" w:pos="570"/>
                <w:tab w:val="center" w:pos="770"/>
              </w:tabs>
              <w:autoSpaceDE w:val="0"/>
              <w:autoSpaceDN w:val="0"/>
              <w:adjustRightInd w:val="0"/>
              <w:jc w:val="center"/>
              <w:rPr>
                <w:sz w:val="24"/>
              </w:rPr>
            </w:pPr>
            <w:r>
              <w:rPr>
                <w:sz w:val="24"/>
              </w:rPr>
              <w:t>21</w:t>
            </w:r>
          </w:p>
        </w:tc>
      </w:tr>
      <w:tr>
        <w:trPr>
          <w:trHeight w:val="20"/>
        </w:trPr>
        <w:tc>
          <w:tcPr>
            <w:tcW w:w="454" w:type="dxa"/>
            <w:vMerge/>
          </w:tcPr>
          <w:p>
            <w:pPr>
              <w:autoSpaceDE w:val="0"/>
              <w:autoSpaceDN w:val="0"/>
              <w:adjustRightInd w:val="0"/>
              <w:rPr>
                <w:b/>
                <w:sz w:val="24"/>
              </w:rPr>
            </w:pPr>
          </w:p>
        </w:tc>
        <w:tc>
          <w:tcPr>
            <w:tcW w:w="2727" w:type="dxa"/>
            <w:vMerge/>
          </w:tcPr>
          <w:p>
            <w:pPr>
              <w:autoSpaceDE w:val="0"/>
              <w:autoSpaceDN w:val="0"/>
              <w:adjustRightInd w:val="0"/>
              <w:jc w:val="right"/>
              <w:rPr>
                <w:b/>
                <w:sz w:val="24"/>
              </w:rPr>
            </w:pPr>
          </w:p>
        </w:tc>
        <w:tc>
          <w:tcPr>
            <w:tcW w:w="4678" w:type="dxa"/>
            <w:vAlign w:val="center"/>
          </w:tcPr>
          <w:p>
            <w:pPr>
              <w:rPr>
                <w:sz w:val="24"/>
              </w:rPr>
            </w:pPr>
            <w:r>
              <w:rPr>
                <w:sz w:val="24"/>
              </w:rPr>
              <w:t>В течение 15 (пятнадцати) календарных дней с момента заключения</w:t>
            </w:r>
          </w:p>
          <w:p>
            <w:pPr>
              <w:autoSpaceDE w:val="0"/>
              <w:autoSpaceDN w:val="0"/>
              <w:adjustRightInd w:val="0"/>
              <w:rPr>
                <w:b/>
                <w:sz w:val="24"/>
              </w:rPr>
            </w:pPr>
            <w:r>
              <w:rPr>
                <w:sz w:val="24"/>
              </w:rPr>
              <w:t>государственного контракта</w:t>
            </w:r>
          </w:p>
        </w:tc>
        <w:tc>
          <w:tcPr>
            <w:tcW w:w="1701" w:type="dxa"/>
          </w:tcPr>
          <w:p>
            <w:pPr>
              <w:tabs>
                <w:tab w:val="left" w:pos="570"/>
                <w:tab w:val="center" w:pos="770"/>
              </w:tabs>
              <w:autoSpaceDE w:val="0"/>
              <w:autoSpaceDN w:val="0"/>
              <w:adjustRightInd w:val="0"/>
              <w:jc w:val="center"/>
              <w:rPr>
                <w:sz w:val="24"/>
              </w:rPr>
            </w:pPr>
            <w:r>
              <w:rPr>
                <w:sz w:val="24"/>
              </w:rPr>
              <w:t>123</w:t>
            </w:r>
          </w:p>
        </w:tc>
      </w:tr>
      <w:tr>
        <w:trPr>
          <w:trHeight w:val="20"/>
        </w:trPr>
        <w:tc>
          <w:tcPr>
            <w:tcW w:w="454" w:type="dxa"/>
            <w:vMerge w:val="restart"/>
          </w:tcPr>
          <w:p>
            <w:pPr>
              <w:autoSpaceDE w:val="0"/>
              <w:autoSpaceDN w:val="0"/>
              <w:adjustRightInd w:val="0"/>
              <w:rPr>
                <w:b/>
                <w:sz w:val="24"/>
              </w:rPr>
            </w:pPr>
            <w:r>
              <w:rPr>
                <w:b/>
                <w:sz w:val="24"/>
              </w:rPr>
              <w:t>2</w:t>
            </w:r>
          </w:p>
        </w:tc>
        <w:tc>
          <w:tcPr>
            <w:tcW w:w="2727" w:type="dxa"/>
            <w:vMerge w:val="restart"/>
          </w:tcPr>
          <w:p>
            <w:pPr>
              <w:snapToGrid w:val="0"/>
              <w:ind w:right="135"/>
              <w:rPr>
                <w:sz w:val="24"/>
              </w:rPr>
            </w:pPr>
            <w:r>
              <w:rPr>
                <w:sz w:val="24"/>
              </w:rPr>
              <w:t>Противопролежневая</w:t>
            </w:r>
          </w:p>
          <w:p>
            <w:pPr>
              <w:snapToGrid w:val="0"/>
              <w:ind w:right="135"/>
              <w:rPr>
                <w:sz w:val="24"/>
              </w:rPr>
            </w:pPr>
            <w:r>
              <w:rPr>
                <w:sz w:val="24"/>
              </w:rPr>
              <w:t>подушка воздушная</w:t>
            </w:r>
          </w:p>
          <w:p>
            <w:pPr>
              <w:autoSpaceDE w:val="0"/>
              <w:autoSpaceDN w:val="0"/>
              <w:adjustRightInd w:val="0"/>
              <w:jc w:val="right"/>
              <w:rPr>
                <w:b/>
                <w:sz w:val="24"/>
              </w:rPr>
            </w:pPr>
          </w:p>
        </w:tc>
        <w:tc>
          <w:tcPr>
            <w:tcW w:w="4678" w:type="dxa"/>
            <w:vAlign w:val="center"/>
          </w:tcPr>
          <w:p>
            <w:pPr>
              <w:autoSpaceDE w:val="0"/>
              <w:autoSpaceDN w:val="0"/>
              <w:adjustRightInd w:val="0"/>
              <w:rPr>
                <w:b/>
                <w:sz w:val="24"/>
              </w:rPr>
            </w:pPr>
            <w:r>
              <w:rPr>
                <w:color w:val="000000" w:themeColor="text1"/>
                <w:sz w:val="24"/>
              </w:rPr>
              <w:t>В течение 2 (двух) рабочих дней с даты заключения государственного контракта.</w:t>
            </w:r>
          </w:p>
        </w:tc>
        <w:tc>
          <w:tcPr>
            <w:tcW w:w="1701" w:type="dxa"/>
          </w:tcPr>
          <w:p>
            <w:pPr>
              <w:tabs>
                <w:tab w:val="left" w:pos="570"/>
                <w:tab w:val="center" w:pos="770"/>
              </w:tabs>
              <w:autoSpaceDE w:val="0"/>
              <w:autoSpaceDN w:val="0"/>
              <w:adjustRightInd w:val="0"/>
              <w:jc w:val="center"/>
              <w:rPr>
                <w:sz w:val="24"/>
              </w:rPr>
            </w:pPr>
            <w:r>
              <w:rPr>
                <w:sz w:val="24"/>
              </w:rPr>
              <w:t>11</w:t>
            </w:r>
          </w:p>
        </w:tc>
      </w:tr>
      <w:tr>
        <w:trPr>
          <w:trHeight w:val="20"/>
        </w:trPr>
        <w:tc>
          <w:tcPr>
            <w:tcW w:w="454" w:type="dxa"/>
            <w:vMerge/>
          </w:tcPr>
          <w:p>
            <w:pPr>
              <w:autoSpaceDE w:val="0"/>
              <w:autoSpaceDN w:val="0"/>
              <w:adjustRightInd w:val="0"/>
              <w:jc w:val="right"/>
              <w:rPr>
                <w:b/>
                <w:sz w:val="24"/>
              </w:rPr>
            </w:pPr>
          </w:p>
        </w:tc>
        <w:tc>
          <w:tcPr>
            <w:tcW w:w="2727" w:type="dxa"/>
            <w:vMerge/>
          </w:tcPr>
          <w:p>
            <w:pPr>
              <w:autoSpaceDE w:val="0"/>
              <w:autoSpaceDN w:val="0"/>
              <w:adjustRightInd w:val="0"/>
              <w:jc w:val="right"/>
              <w:rPr>
                <w:b/>
                <w:sz w:val="24"/>
              </w:rPr>
            </w:pPr>
          </w:p>
        </w:tc>
        <w:tc>
          <w:tcPr>
            <w:tcW w:w="4678" w:type="dxa"/>
            <w:vAlign w:val="center"/>
          </w:tcPr>
          <w:p>
            <w:pPr>
              <w:rPr>
                <w:sz w:val="24"/>
              </w:rPr>
            </w:pPr>
            <w:r>
              <w:rPr>
                <w:sz w:val="24"/>
              </w:rPr>
              <w:t>В течение 15 (пятнадцати) календарных дней с момента заключения</w:t>
            </w:r>
          </w:p>
          <w:p>
            <w:pPr>
              <w:autoSpaceDE w:val="0"/>
              <w:autoSpaceDN w:val="0"/>
              <w:adjustRightInd w:val="0"/>
              <w:rPr>
                <w:b/>
                <w:sz w:val="24"/>
              </w:rPr>
            </w:pPr>
            <w:r>
              <w:rPr>
                <w:sz w:val="24"/>
              </w:rPr>
              <w:t>государственного контракта</w:t>
            </w:r>
          </w:p>
        </w:tc>
        <w:tc>
          <w:tcPr>
            <w:tcW w:w="1701" w:type="dxa"/>
          </w:tcPr>
          <w:p>
            <w:pPr>
              <w:tabs>
                <w:tab w:val="left" w:pos="570"/>
                <w:tab w:val="center" w:pos="770"/>
              </w:tabs>
              <w:autoSpaceDE w:val="0"/>
              <w:autoSpaceDN w:val="0"/>
              <w:adjustRightInd w:val="0"/>
              <w:jc w:val="center"/>
              <w:rPr>
                <w:sz w:val="24"/>
              </w:rPr>
            </w:pPr>
            <w:r>
              <w:rPr>
                <w:sz w:val="24"/>
              </w:rPr>
              <w:t>64</w:t>
            </w:r>
          </w:p>
        </w:tc>
      </w:tr>
      <w:tr>
        <w:trPr>
          <w:trHeight w:val="20"/>
        </w:trPr>
        <w:tc>
          <w:tcPr>
            <w:tcW w:w="7859" w:type="dxa"/>
            <w:gridSpan w:val="3"/>
          </w:tcPr>
          <w:p>
            <w:pPr>
              <w:autoSpaceDE w:val="0"/>
              <w:autoSpaceDN w:val="0"/>
              <w:adjustRightInd w:val="0"/>
              <w:jc w:val="right"/>
              <w:rPr>
                <w:b/>
                <w:sz w:val="24"/>
              </w:rPr>
            </w:pPr>
            <w:r>
              <w:rPr>
                <w:b/>
                <w:sz w:val="24"/>
              </w:rPr>
              <w:t>Итого:</w:t>
            </w:r>
          </w:p>
        </w:tc>
        <w:tc>
          <w:tcPr>
            <w:tcW w:w="1701" w:type="dxa"/>
          </w:tcPr>
          <w:p>
            <w:pPr>
              <w:tabs>
                <w:tab w:val="left" w:pos="570"/>
                <w:tab w:val="center" w:pos="770"/>
              </w:tabs>
              <w:autoSpaceDE w:val="0"/>
              <w:autoSpaceDN w:val="0"/>
              <w:adjustRightInd w:val="0"/>
              <w:jc w:val="center"/>
              <w:rPr>
                <w:b/>
                <w:sz w:val="24"/>
              </w:rPr>
            </w:pPr>
            <w:r>
              <w:rPr>
                <w:b/>
                <w:sz w:val="24"/>
              </w:rPr>
              <w:t>489</w:t>
            </w:r>
          </w:p>
        </w:tc>
      </w:tr>
    </w:tbl>
    <w:p>
      <w:pPr>
        <w:jc w:val="both"/>
        <w:rPr>
          <w:sz w:val="24"/>
          <w:szCs w:val="24"/>
        </w:rPr>
      </w:pPr>
    </w:p>
    <w:p>
      <w:pPr>
        <w:ind w:firstLine="426"/>
        <w:jc w:val="both"/>
        <w:rPr>
          <w:sz w:val="24"/>
          <w:szCs w:val="24"/>
        </w:rPr>
      </w:pPr>
      <w:r>
        <w:rPr>
          <w:sz w:val="24"/>
          <w:szCs w:val="24"/>
        </w:rPr>
        <w:t xml:space="preserve">2. 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pPr>
        <w:ind w:firstLine="426"/>
        <w:jc w:val="both"/>
        <w:rPr>
          <w:sz w:val="24"/>
          <w:szCs w:val="24"/>
        </w:rPr>
      </w:pPr>
    </w:p>
    <w:p>
      <w:pPr>
        <w:pStyle w:val="a3"/>
        <w:numPr>
          <w:ilvl w:val="0"/>
          <w:numId w:val="2"/>
        </w:numPr>
        <w:jc w:val="both"/>
        <w:rPr>
          <w:sz w:val="24"/>
          <w:szCs w:val="24"/>
        </w:rPr>
      </w:pPr>
      <w:r>
        <w:rPr>
          <w:sz w:val="24"/>
          <w:szCs w:val="24"/>
        </w:rPr>
        <w:lastRenderedPageBreak/>
        <w:t>Товар должен отвечать следующим требованиям: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7"/>
        <w:gridCol w:w="1850"/>
        <w:gridCol w:w="1701"/>
        <w:gridCol w:w="3260"/>
        <w:gridCol w:w="1843"/>
        <w:gridCol w:w="850"/>
      </w:tblGrid>
      <w:tr>
        <w:trPr>
          <w:trHeight w:val="20"/>
        </w:trPr>
        <w:tc>
          <w:tcPr>
            <w:tcW w:w="277" w:type="dxa"/>
            <w:vAlign w:val="center"/>
          </w:tcPr>
          <w:p>
            <w:pPr>
              <w:widowControl w:val="0"/>
              <w:tabs>
                <w:tab w:val="num" w:pos="180"/>
              </w:tabs>
              <w:ind w:left="-108" w:right="-108"/>
              <w:contextualSpacing/>
              <w:jc w:val="center"/>
              <w:rPr>
                <w:b/>
                <w:sz w:val="22"/>
              </w:rPr>
            </w:pPr>
            <w:r>
              <w:rPr>
                <w:b/>
                <w:sz w:val="22"/>
              </w:rPr>
              <w:t>№ п/п</w:t>
            </w:r>
          </w:p>
        </w:tc>
        <w:tc>
          <w:tcPr>
            <w:tcW w:w="1850" w:type="dxa"/>
            <w:vAlign w:val="center"/>
          </w:tcPr>
          <w:p>
            <w:pPr>
              <w:widowControl w:val="0"/>
              <w:tabs>
                <w:tab w:val="num" w:pos="180"/>
              </w:tabs>
              <w:ind w:left="-21"/>
              <w:contextualSpacing/>
              <w:jc w:val="center"/>
              <w:rPr>
                <w:b/>
                <w:sz w:val="22"/>
              </w:rPr>
            </w:pPr>
            <w:r>
              <w:rPr>
                <w:b/>
                <w:sz w:val="22"/>
              </w:rPr>
              <w:t>Наименование Товара</w:t>
            </w:r>
          </w:p>
        </w:tc>
        <w:tc>
          <w:tcPr>
            <w:tcW w:w="1701" w:type="dxa"/>
          </w:tcPr>
          <w:p>
            <w:pPr>
              <w:widowControl w:val="0"/>
              <w:contextualSpacing/>
              <w:jc w:val="center"/>
              <w:rPr>
                <w:b/>
                <w:sz w:val="22"/>
              </w:rPr>
            </w:pPr>
            <w:r>
              <w:rPr>
                <w:b/>
                <w:sz w:val="22"/>
              </w:rPr>
              <w:t>Наименование Товара по КТРУ</w:t>
            </w:r>
          </w:p>
        </w:tc>
        <w:tc>
          <w:tcPr>
            <w:tcW w:w="3260" w:type="dxa"/>
            <w:vAlign w:val="center"/>
          </w:tcPr>
          <w:p>
            <w:pPr>
              <w:widowControl w:val="0"/>
              <w:contextualSpacing/>
              <w:jc w:val="center"/>
              <w:rPr>
                <w:b/>
                <w:sz w:val="22"/>
              </w:rPr>
            </w:pPr>
            <w:r>
              <w:rPr>
                <w:b/>
                <w:sz w:val="22"/>
              </w:rPr>
              <w:t>Характеристика Товара</w:t>
            </w:r>
          </w:p>
        </w:tc>
        <w:tc>
          <w:tcPr>
            <w:tcW w:w="1843" w:type="dxa"/>
            <w:vAlign w:val="center"/>
          </w:tcPr>
          <w:p>
            <w:pPr>
              <w:widowControl w:val="0"/>
              <w:tabs>
                <w:tab w:val="num" w:pos="202"/>
              </w:tabs>
              <w:ind w:left="-84" w:right="-24"/>
              <w:contextualSpacing/>
              <w:jc w:val="center"/>
              <w:rPr>
                <w:b/>
                <w:sz w:val="22"/>
              </w:rPr>
            </w:pPr>
            <w:r>
              <w:rPr>
                <w:b/>
                <w:sz w:val="22"/>
              </w:rPr>
              <w:t>Значение характеристики</w:t>
            </w:r>
          </w:p>
        </w:tc>
        <w:tc>
          <w:tcPr>
            <w:tcW w:w="850" w:type="dxa"/>
            <w:vAlign w:val="center"/>
          </w:tcPr>
          <w:p>
            <w:pPr>
              <w:widowControl w:val="0"/>
              <w:ind w:left="-53" w:right="-108"/>
              <w:contextualSpacing/>
              <w:jc w:val="center"/>
              <w:rPr>
                <w:b/>
                <w:sz w:val="22"/>
              </w:rPr>
            </w:pPr>
            <w:r>
              <w:rPr>
                <w:b/>
                <w:sz w:val="22"/>
              </w:rPr>
              <w:t>Кол-во, шт.</w:t>
            </w:r>
          </w:p>
        </w:tc>
      </w:tr>
      <w:tr>
        <w:trPr>
          <w:trHeight w:val="20"/>
        </w:trPr>
        <w:tc>
          <w:tcPr>
            <w:tcW w:w="277" w:type="dxa"/>
            <w:vMerge w:val="restart"/>
          </w:tcPr>
          <w:p>
            <w:pPr>
              <w:widowControl w:val="0"/>
              <w:ind w:left="-108" w:right="-108"/>
              <w:contextualSpacing/>
              <w:jc w:val="center"/>
              <w:rPr>
                <w:sz w:val="22"/>
                <w:lang w:eastAsia="ar-SA"/>
              </w:rPr>
            </w:pPr>
            <w:r>
              <w:rPr>
                <w:sz w:val="22"/>
                <w:lang w:eastAsia="ar-SA"/>
              </w:rPr>
              <w:t>1</w:t>
            </w:r>
          </w:p>
        </w:tc>
        <w:tc>
          <w:tcPr>
            <w:tcW w:w="1850" w:type="dxa"/>
            <w:vMerge w:val="restart"/>
          </w:tcPr>
          <w:p>
            <w:pPr>
              <w:widowControl w:val="0"/>
              <w:snapToGrid w:val="0"/>
              <w:ind w:left="-21" w:right="114"/>
              <w:contextualSpacing/>
              <w:jc w:val="center"/>
              <w:rPr>
                <w:bCs/>
                <w:sz w:val="22"/>
              </w:rPr>
            </w:pPr>
            <w:proofErr w:type="spellStart"/>
            <w:r>
              <w:rPr>
                <w:sz w:val="22"/>
              </w:rPr>
              <w:t>Противопролеж-невый</w:t>
            </w:r>
            <w:proofErr w:type="spellEnd"/>
            <w:r>
              <w:rPr>
                <w:sz w:val="22"/>
              </w:rPr>
              <w:t xml:space="preserve"> </w:t>
            </w:r>
            <w:r>
              <w:rPr>
                <w:bCs/>
                <w:sz w:val="22"/>
              </w:rPr>
              <w:t>матрац воздушный (с компрессором)</w:t>
            </w:r>
          </w:p>
          <w:p>
            <w:pPr>
              <w:widowControl w:val="0"/>
              <w:snapToGrid w:val="0"/>
              <w:ind w:left="-108" w:right="-108"/>
              <w:contextualSpacing/>
              <w:jc w:val="center"/>
              <w:rPr>
                <w:sz w:val="22"/>
              </w:rPr>
            </w:pPr>
          </w:p>
        </w:tc>
        <w:tc>
          <w:tcPr>
            <w:tcW w:w="1701" w:type="dxa"/>
            <w:vMerge w:val="restart"/>
          </w:tcPr>
          <w:p>
            <w:pPr>
              <w:widowControl w:val="0"/>
              <w:snapToGrid w:val="0"/>
              <w:contextualSpacing/>
              <w:rPr>
                <w:sz w:val="22"/>
                <w:szCs w:val="22"/>
              </w:rPr>
            </w:pPr>
            <w:r>
              <w:rPr>
                <w:sz w:val="22"/>
                <w:szCs w:val="22"/>
                <w:shd w:val="clear" w:color="auto" w:fill="FFFFFF"/>
              </w:rPr>
              <w:t xml:space="preserve">Система </w:t>
            </w:r>
            <w:proofErr w:type="spellStart"/>
            <w:r>
              <w:rPr>
                <w:sz w:val="22"/>
                <w:szCs w:val="22"/>
                <w:shd w:val="clear" w:color="auto" w:fill="FFFFFF"/>
              </w:rPr>
              <w:t>противопролеж-невая</w:t>
            </w:r>
            <w:proofErr w:type="spellEnd"/>
            <w:r>
              <w:rPr>
                <w:sz w:val="22"/>
                <w:szCs w:val="22"/>
                <w:shd w:val="clear" w:color="auto" w:fill="FFFFFF"/>
              </w:rPr>
              <w:t xml:space="preserve"> с надувным матрасом с регулируемым давлением</w:t>
            </w:r>
          </w:p>
        </w:tc>
        <w:tc>
          <w:tcPr>
            <w:tcW w:w="3260" w:type="dxa"/>
            <w:vAlign w:val="center"/>
          </w:tcPr>
          <w:p>
            <w:pPr>
              <w:widowControl w:val="0"/>
              <w:snapToGrid w:val="0"/>
              <w:contextualSpacing/>
              <w:jc w:val="center"/>
              <w:rPr>
                <w:sz w:val="22"/>
              </w:rPr>
            </w:pPr>
            <w:r>
              <w:rPr>
                <w:sz w:val="22"/>
              </w:rPr>
              <w:t>Работа компрессора от электросети с напряжением 220 В</w:t>
            </w:r>
          </w:p>
        </w:tc>
        <w:tc>
          <w:tcPr>
            <w:tcW w:w="1843" w:type="dxa"/>
            <w:vAlign w:val="center"/>
          </w:tcPr>
          <w:p>
            <w:pPr>
              <w:widowControl w:val="0"/>
              <w:snapToGrid w:val="0"/>
              <w:contextualSpacing/>
              <w:jc w:val="center"/>
              <w:rPr>
                <w:rFonts w:eastAsia="Arial Unicode MS"/>
                <w:sz w:val="22"/>
              </w:rPr>
            </w:pPr>
            <w:r>
              <w:rPr>
                <w:rFonts w:eastAsia="Arial Unicode MS"/>
                <w:sz w:val="22"/>
              </w:rPr>
              <w:t>наличие</w:t>
            </w:r>
          </w:p>
        </w:tc>
        <w:tc>
          <w:tcPr>
            <w:tcW w:w="850" w:type="dxa"/>
            <w:vMerge w:val="restart"/>
          </w:tcPr>
          <w:p>
            <w:pPr>
              <w:widowControl w:val="0"/>
              <w:snapToGrid w:val="0"/>
              <w:ind w:left="-53" w:right="-108"/>
              <w:contextualSpacing/>
              <w:jc w:val="center"/>
              <w:rPr>
                <w:color w:val="2D2D2D"/>
                <w:spacing w:val="2"/>
                <w:sz w:val="22"/>
              </w:rPr>
            </w:pPr>
            <w:r>
              <w:rPr>
                <w:color w:val="2D2D2D"/>
                <w:spacing w:val="2"/>
                <w:sz w:val="22"/>
              </w:rPr>
              <w:t>270</w:t>
            </w:r>
          </w:p>
        </w:tc>
      </w:tr>
      <w:tr>
        <w:trPr>
          <w:trHeight w:val="20"/>
        </w:trPr>
        <w:tc>
          <w:tcPr>
            <w:tcW w:w="277" w:type="dxa"/>
            <w:vMerge/>
          </w:tcPr>
          <w:p>
            <w:pPr>
              <w:widowControl w:val="0"/>
              <w:ind w:left="-108" w:right="-108"/>
              <w:contextualSpacing/>
              <w:jc w:val="center"/>
              <w:rPr>
                <w:sz w:val="22"/>
                <w:lang w:eastAsia="ar-SA"/>
              </w:rPr>
            </w:pPr>
          </w:p>
        </w:tc>
        <w:tc>
          <w:tcPr>
            <w:tcW w:w="1850" w:type="dxa"/>
            <w:vMerge/>
          </w:tcPr>
          <w:p>
            <w:pPr>
              <w:widowControl w:val="0"/>
              <w:snapToGrid w:val="0"/>
              <w:ind w:left="-108" w:right="-108"/>
              <w:contextualSpacing/>
              <w:jc w:val="center"/>
              <w:rPr>
                <w:sz w:val="22"/>
              </w:rPr>
            </w:pPr>
          </w:p>
        </w:tc>
        <w:tc>
          <w:tcPr>
            <w:tcW w:w="1701" w:type="dxa"/>
            <w:vMerge/>
          </w:tcPr>
          <w:p>
            <w:pPr>
              <w:widowControl w:val="0"/>
              <w:snapToGrid w:val="0"/>
              <w:contextualSpacing/>
              <w:jc w:val="center"/>
              <w:rPr>
                <w:sz w:val="22"/>
              </w:rPr>
            </w:pPr>
          </w:p>
        </w:tc>
        <w:tc>
          <w:tcPr>
            <w:tcW w:w="3260" w:type="dxa"/>
            <w:vAlign w:val="center"/>
          </w:tcPr>
          <w:p>
            <w:pPr>
              <w:widowControl w:val="0"/>
              <w:snapToGrid w:val="0"/>
              <w:contextualSpacing/>
              <w:jc w:val="center"/>
              <w:rPr>
                <w:sz w:val="22"/>
              </w:rPr>
            </w:pPr>
            <w:r>
              <w:rPr>
                <w:sz w:val="22"/>
              </w:rPr>
              <w:t>Компрессор должен обеспечивать непрерывный режим работы</w:t>
            </w:r>
          </w:p>
        </w:tc>
        <w:tc>
          <w:tcPr>
            <w:tcW w:w="1843" w:type="dxa"/>
            <w:vAlign w:val="center"/>
          </w:tcPr>
          <w:p>
            <w:pPr>
              <w:widowControl w:val="0"/>
              <w:snapToGrid w:val="0"/>
              <w:contextualSpacing/>
              <w:jc w:val="center"/>
              <w:rPr>
                <w:rFonts w:eastAsia="Arial Unicode MS"/>
                <w:sz w:val="22"/>
              </w:rPr>
            </w:pPr>
            <w:r>
              <w:rPr>
                <w:rFonts w:eastAsia="Arial Unicode MS"/>
                <w:sz w:val="22"/>
              </w:rPr>
              <w:t xml:space="preserve">наличие </w:t>
            </w:r>
          </w:p>
        </w:tc>
        <w:tc>
          <w:tcPr>
            <w:tcW w:w="850" w:type="dxa"/>
            <w:vMerge/>
          </w:tcPr>
          <w:p>
            <w:pPr>
              <w:widowControl w:val="0"/>
              <w:snapToGrid w:val="0"/>
              <w:ind w:left="-53" w:right="-108"/>
              <w:contextualSpacing/>
              <w:jc w:val="center"/>
              <w:rPr>
                <w:color w:val="2D2D2D"/>
                <w:spacing w:val="2"/>
                <w:sz w:val="22"/>
              </w:rPr>
            </w:pPr>
          </w:p>
        </w:tc>
      </w:tr>
      <w:tr>
        <w:trPr>
          <w:trHeight w:val="20"/>
        </w:trPr>
        <w:tc>
          <w:tcPr>
            <w:tcW w:w="277" w:type="dxa"/>
            <w:vMerge/>
          </w:tcPr>
          <w:p>
            <w:pPr>
              <w:widowControl w:val="0"/>
              <w:ind w:left="-108" w:right="-108"/>
              <w:contextualSpacing/>
              <w:jc w:val="center"/>
              <w:rPr>
                <w:sz w:val="22"/>
                <w:lang w:eastAsia="ar-SA"/>
              </w:rPr>
            </w:pPr>
          </w:p>
        </w:tc>
        <w:tc>
          <w:tcPr>
            <w:tcW w:w="1850" w:type="dxa"/>
            <w:vMerge/>
          </w:tcPr>
          <w:p>
            <w:pPr>
              <w:widowControl w:val="0"/>
              <w:snapToGrid w:val="0"/>
              <w:ind w:left="-108" w:right="-108"/>
              <w:contextualSpacing/>
              <w:jc w:val="center"/>
              <w:rPr>
                <w:sz w:val="22"/>
              </w:rPr>
            </w:pPr>
          </w:p>
        </w:tc>
        <w:tc>
          <w:tcPr>
            <w:tcW w:w="1701" w:type="dxa"/>
            <w:vMerge/>
          </w:tcPr>
          <w:p>
            <w:pPr>
              <w:widowControl w:val="0"/>
              <w:snapToGrid w:val="0"/>
              <w:contextualSpacing/>
              <w:jc w:val="center"/>
              <w:rPr>
                <w:sz w:val="22"/>
              </w:rPr>
            </w:pPr>
          </w:p>
        </w:tc>
        <w:tc>
          <w:tcPr>
            <w:tcW w:w="3260" w:type="dxa"/>
            <w:vAlign w:val="center"/>
          </w:tcPr>
          <w:p>
            <w:pPr>
              <w:widowControl w:val="0"/>
              <w:snapToGrid w:val="0"/>
              <w:contextualSpacing/>
              <w:jc w:val="center"/>
              <w:rPr>
                <w:rFonts w:eastAsia="Arial Unicode MS"/>
                <w:sz w:val="22"/>
              </w:rPr>
            </w:pPr>
            <w:r>
              <w:rPr>
                <w:sz w:val="22"/>
              </w:rPr>
              <w:t>Наполняемость внутреннего объема противопролежневых матрацев – воздух</w:t>
            </w:r>
          </w:p>
        </w:tc>
        <w:tc>
          <w:tcPr>
            <w:tcW w:w="1843" w:type="dxa"/>
            <w:vAlign w:val="center"/>
          </w:tcPr>
          <w:p>
            <w:pPr>
              <w:widowControl w:val="0"/>
              <w:snapToGrid w:val="0"/>
              <w:contextualSpacing/>
              <w:jc w:val="center"/>
              <w:rPr>
                <w:rFonts w:eastAsia="Arial Unicode MS"/>
                <w:sz w:val="22"/>
              </w:rPr>
            </w:pPr>
            <w:r>
              <w:rPr>
                <w:rFonts w:eastAsia="Arial Unicode MS"/>
                <w:sz w:val="22"/>
              </w:rPr>
              <w:t>наличие</w:t>
            </w:r>
          </w:p>
        </w:tc>
        <w:tc>
          <w:tcPr>
            <w:tcW w:w="850" w:type="dxa"/>
            <w:vMerge/>
          </w:tcPr>
          <w:p>
            <w:pPr>
              <w:widowControl w:val="0"/>
              <w:snapToGrid w:val="0"/>
              <w:ind w:left="-53" w:right="-108"/>
              <w:contextualSpacing/>
              <w:jc w:val="center"/>
              <w:rPr>
                <w:color w:val="2D2D2D"/>
                <w:spacing w:val="2"/>
                <w:sz w:val="22"/>
              </w:rPr>
            </w:pPr>
          </w:p>
        </w:tc>
      </w:tr>
      <w:tr>
        <w:trPr>
          <w:trHeight w:val="20"/>
        </w:trPr>
        <w:tc>
          <w:tcPr>
            <w:tcW w:w="277" w:type="dxa"/>
            <w:vMerge/>
          </w:tcPr>
          <w:p>
            <w:pPr>
              <w:widowControl w:val="0"/>
              <w:ind w:left="-108" w:right="-108"/>
              <w:contextualSpacing/>
              <w:jc w:val="center"/>
              <w:rPr>
                <w:sz w:val="22"/>
                <w:lang w:eastAsia="ar-SA"/>
              </w:rPr>
            </w:pPr>
          </w:p>
        </w:tc>
        <w:tc>
          <w:tcPr>
            <w:tcW w:w="1850" w:type="dxa"/>
            <w:vMerge/>
          </w:tcPr>
          <w:p>
            <w:pPr>
              <w:widowControl w:val="0"/>
              <w:snapToGrid w:val="0"/>
              <w:ind w:left="-108" w:right="-108"/>
              <w:contextualSpacing/>
              <w:jc w:val="center"/>
              <w:rPr>
                <w:sz w:val="22"/>
              </w:rPr>
            </w:pPr>
          </w:p>
        </w:tc>
        <w:tc>
          <w:tcPr>
            <w:tcW w:w="1701" w:type="dxa"/>
            <w:vMerge/>
          </w:tcPr>
          <w:p>
            <w:pPr>
              <w:widowControl w:val="0"/>
              <w:snapToGrid w:val="0"/>
              <w:contextualSpacing/>
              <w:jc w:val="center"/>
              <w:rPr>
                <w:sz w:val="22"/>
              </w:rPr>
            </w:pPr>
          </w:p>
        </w:tc>
        <w:tc>
          <w:tcPr>
            <w:tcW w:w="3260" w:type="dxa"/>
            <w:vAlign w:val="center"/>
          </w:tcPr>
          <w:p>
            <w:pPr>
              <w:widowControl w:val="0"/>
              <w:snapToGrid w:val="0"/>
              <w:contextualSpacing/>
              <w:jc w:val="center"/>
              <w:rPr>
                <w:sz w:val="22"/>
              </w:rPr>
            </w:pPr>
            <w:r>
              <w:rPr>
                <w:sz w:val="22"/>
              </w:rPr>
              <w:t>Воздушный компрессор, обеспечивающий регулировку давления в ячейках матраца в зависимости от веса Получателя</w:t>
            </w:r>
          </w:p>
        </w:tc>
        <w:tc>
          <w:tcPr>
            <w:tcW w:w="1843" w:type="dxa"/>
            <w:vAlign w:val="center"/>
          </w:tcPr>
          <w:p>
            <w:pPr>
              <w:widowControl w:val="0"/>
              <w:snapToGrid w:val="0"/>
              <w:contextualSpacing/>
              <w:jc w:val="center"/>
              <w:rPr>
                <w:sz w:val="22"/>
              </w:rPr>
            </w:pPr>
            <w:r>
              <w:rPr>
                <w:sz w:val="22"/>
              </w:rPr>
              <w:t>наличие</w:t>
            </w:r>
          </w:p>
        </w:tc>
        <w:tc>
          <w:tcPr>
            <w:tcW w:w="850" w:type="dxa"/>
            <w:vMerge/>
          </w:tcPr>
          <w:p>
            <w:pPr>
              <w:widowControl w:val="0"/>
              <w:snapToGrid w:val="0"/>
              <w:ind w:left="-53" w:right="-108"/>
              <w:contextualSpacing/>
              <w:jc w:val="center"/>
              <w:rPr>
                <w:color w:val="2D2D2D"/>
                <w:spacing w:val="2"/>
                <w:sz w:val="22"/>
              </w:rPr>
            </w:pPr>
          </w:p>
        </w:tc>
      </w:tr>
      <w:tr>
        <w:trPr>
          <w:trHeight w:val="20"/>
        </w:trPr>
        <w:tc>
          <w:tcPr>
            <w:tcW w:w="277" w:type="dxa"/>
            <w:vMerge/>
          </w:tcPr>
          <w:p>
            <w:pPr>
              <w:widowControl w:val="0"/>
              <w:ind w:left="-108" w:right="-108"/>
              <w:contextualSpacing/>
              <w:jc w:val="center"/>
              <w:rPr>
                <w:sz w:val="22"/>
                <w:lang w:eastAsia="ar-SA"/>
              </w:rPr>
            </w:pPr>
          </w:p>
        </w:tc>
        <w:tc>
          <w:tcPr>
            <w:tcW w:w="1850" w:type="dxa"/>
            <w:vMerge/>
          </w:tcPr>
          <w:p>
            <w:pPr>
              <w:widowControl w:val="0"/>
              <w:snapToGrid w:val="0"/>
              <w:ind w:left="-108" w:right="-108"/>
              <w:contextualSpacing/>
              <w:jc w:val="center"/>
              <w:rPr>
                <w:sz w:val="22"/>
              </w:rPr>
            </w:pPr>
          </w:p>
        </w:tc>
        <w:tc>
          <w:tcPr>
            <w:tcW w:w="1701" w:type="dxa"/>
            <w:vMerge/>
          </w:tcPr>
          <w:p>
            <w:pPr>
              <w:widowControl w:val="0"/>
              <w:snapToGrid w:val="0"/>
              <w:contextualSpacing/>
              <w:jc w:val="center"/>
              <w:rPr>
                <w:color w:val="2D2D2D"/>
                <w:spacing w:val="2"/>
                <w:sz w:val="22"/>
                <w:shd w:val="clear" w:color="auto" w:fill="FFFFFF"/>
              </w:rPr>
            </w:pPr>
          </w:p>
        </w:tc>
        <w:tc>
          <w:tcPr>
            <w:tcW w:w="3260" w:type="dxa"/>
            <w:vAlign w:val="center"/>
          </w:tcPr>
          <w:p>
            <w:pPr>
              <w:widowControl w:val="0"/>
              <w:snapToGrid w:val="0"/>
              <w:contextualSpacing/>
              <w:jc w:val="center"/>
              <w:rPr>
                <w:sz w:val="22"/>
              </w:rPr>
            </w:pPr>
            <w:r>
              <w:rPr>
                <w:color w:val="2D2D2D"/>
                <w:spacing w:val="2"/>
                <w:sz w:val="22"/>
                <w:shd w:val="clear" w:color="auto" w:fill="FFFFFF"/>
              </w:rPr>
              <w:t xml:space="preserve">Уровень шума, создаваемого компрессором </w:t>
            </w:r>
            <w:r>
              <w:rPr>
                <w:spacing w:val="2"/>
                <w:sz w:val="22"/>
                <w:shd w:val="clear" w:color="auto" w:fill="FFFFFF"/>
              </w:rPr>
              <w:t xml:space="preserve">не более 40 </w:t>
            </w:r>
            <w:proofErr w:type="spellStart"/>
            <w:r>
              <w:rPr>
                <w:spacing w:val="2"/>
                <w:sz w:val="22"/>
                <w:shd w:val="clear" w:color="auto" w:fill="FFFFFF"/>
              </w:rPr>
              <w:t>дБА</w:t>
            </w:r>
            <w:proofErr w:type="spellEnd"/>
            <w:r>
              <w:rPr>
                <w:spacing w:val="2"/>
                <w:sz w:val="22"/>
                <w:shd w:val="clear" w:color="auto" w:fill="FFFFFF"/>
              </w:rPr>
              <w:t xml:space="preserve"> </w:t>
            </w:r>
            <w:r>
              <w:rPr>
                <w:rFonts w:eastAsia="Arial Unicode MS"/>
                <w:sz w:val="22"/>
                <w:lang w:eastAsia="ar-SA"/>
              </w:rPr>
              <w:t>(включительно)</w:t>
            </w:r>
          </w:p>
        </w:tc>
        <w:tc>
          <w:tcPr>
            <w:tcW w:w="1843" w:type="dxa"/>
            <w:vAlign w:val="center"/>
          </w:tcPr>
          <w:p>
            <w:pPr>
              <w:widowControl w:val="0"/>
              <w:snapToGrid w:val="0"/>
              <w:contextualSpacing/>
              <w:jc w:val="center"/>
              <w:rPr>
                <w:sz w:val="22"/>
              </w:rPr>
            </w:pPr>
            <w:r>
              <w:rPr>
                <w:sz w:val="22"/>
              </w:rPr>
              <w:t>наличие</w:t>
            </w:r>
          </w:p>
        </w:tc>
        <w:tc>
          <w:tcPr>
            <w:tcW w:w="850" w:type="dxa"/>
            <w:vMerge/>
          </w:tcPr>
          <w:p>
            <w:pPr>
              <w:widowControl w:val="0"/>
              <w:snapToGrid w:val="0"/>
              <w:ind w:left="-53" w:right="-108"/>
              <w:contextualSpacing/>
              <w:jc w:val="center"/>
              <w:rPr>
                <w:color w:val="2D2D2D"/>
                <w:spacing w:val="2"/>
                <w:sz w:val="22"/>
              </w:rPr>
            </w:pPr>
          </w:p>
        </w:tc>
      </w:tr>
      <w:tr>
        <w:trPr>
          <w:trHeight w:val="20"/>
        </w:trPr>
        <w:tc>
          <w:tcPr>
            <w:tcW w:w="277" w:type="dxa"/>
            <w:vMerge/>
          </w:tcPr>
          <w:p>
            <w:pPr>
              <w:widowControl w:val="0"/>
              <w:ind w:left="-108" w:right="-108"/>
              <w:contextualSpacing/>
              <w:jc w:val="center"/>
              <w:rPr>
                <w:sz w:val="22"/>
                <w:lang w:eastAsia="ar-SA"/>
              </w:rPr>
            </w:pPr>
          </w:p>
        </w:tc>
        <w:tc>
          <w:tcPr>
            <w:tcW w:w="1850" w:type="dxa"/>
            <w:vMerge/>
          </w:tcPr>
          <w:p>
            <w:pPr>
              <w:widowControl w:val="0"/>
              <w:snapToGrid w:val="0"/>
              <w:ind w:left="-108" w:right="-108"/>
              <w:contextualSpacing/>
              <w:jc w:val="center"/>
              <w:rPr>
                <w:sz w:val="22"/>
              </w:rPr>
            </w:pPr>
          </w:p>
        </w:tc>
        <w:tc>
          <w:tcPr>
            <w:tcW w:w="1701" w:type="dxa"/>
            <w:vMerge/>
          </w:tcPr>
          <w:p>
            <w:pPr>
              <w:widowControl w:val="0"/>
              <w:snapToGrid w:val="0"/>
              <w:contextualSpacing/>
              <w:jc w:val="center"/>
              <w:rPr>
                <w:sz w:val="22"/>
              </w:rPr>
            </w:pPr>
          </w:p>
        </w:tc>
        <w:tc>
          <w:tcPr>
            <w:tcW w:w="3260" w:type="dxa"/>
            <w:vAlign w:val="center"/>
          </w:tcPr>
          <w:p>
            <w:pPr>
              <w:widowControl w:val="0"/>
              <w:snapToGrid w:val="0"/>
              <w:contextualSpacing/>
              <w:jc w:val="center"/>
              <w:rPr>
                <w:rFonts w:eastAsia="Arial Unicode MS"/>
                <w:sz w:val="22"/>
                <w:lang w:eastAsia="ar-SA"/>
              </w:rPr>
            </w:pPr>
            <w:r>
              <w:rPr>
                <w:sz w:val="22"/>
              </w:rPr>
              <w:t xml:space="preserve">Нагрузка на матрац </w:t>
            </w:r>
            <w:r>
              <w:rPr>
                <w:rFonts w:eastAsia="Arial Unicode MS"/>
                <w:sz w:val="22"/>
                <w:lang w:eastAsia="ar-SA"/>
              </w:rPr>
              <w:t>не менее 120 кг</w:t>
            </w:r>
          </w:p>
          <w:p>
            <w:pPr>
              <w:widowControl w:val="0"/>
              <w:tabs>
                <w:tab w:val="num" w:pos="72"/>
              </w:tabs>
              <w:snapToGrid w:val="0"/>
              <w:contextualSpacing/>
              <w:jc w:val="center"/>
              <w:rPr>
                <w:sz w:val="22"/>
              </w:rPr>
            </w:pPr>
            <w:r>
              <w:rPr>
                <w:rFonts w:eastAsia="Arial Unicode MS"/>
                <w:sz w:val="22"/>
                <w:lang w:eastAsia="ar-SA"/>
              </w:rPr>
              <w:t>(включительно)</w:t>
            </w:r>
          </w:p>
        </w:tc>
        <w:tc>
          <w:tcPr>
            <w:tcW w:w="1843" w:type="dxa"/>
            <w:vAlign w:val="center"/>
          </w:tcPr>
          <w:p>
            <w:pPr>
              <w:widowControl w:val="0"/>
              <w:snapToGrid w:val="0"/>
              <w:contextualSpacing/>
              <w:jc w:val="center"/>
              <w:rPr>
                <w:rFonts w:eastAsia="Arial Unicode MS"/>
                <w:sz w:val="22"/>
                <w:lang w:eastAsia="ar-SA"/>
              </w:rPr>
            </w:pPr>
            <w:r>
              <w:rPr>
                <w:sz w:val="22"/>
              </w:rPr>
              <w:t>наличие</w:t>
            </w:r>
          </w:p>
        </w:tc>
        <w:tc>
          <w:tcPr>
            <w:tcW w:w="850" w:type="dxa"/>
            <w:vMerge/>
          </w:tcPr>
          <w:p>
            <w:pPr>
              <w:widowControl w:val="0"/>
              <w:snapToGrid w:val="0"/>
              <w:ind w:left="-53" w:right="-108"/>
              <w:contextualSpacing/>
              <w:jc w:val="center"/>
              <w:rPr>
                <w:color w:val="2D2D2D"/>
                <w:spacing w:val="2"/>
                <w:sz w:val="22"/>
              </w:rPr>
            </w:pPr>
          </w:p>
        </w:tc>
      </w:tr>
      <w:tr>
        <w:trPr>
          <w:trHeight w:val="20"/>
        </w:trPr>
        <w:tc>
          <w:tcPr>
            <w:tcW w:w="277" w:type="dxa"/>
            <w:vMerge w:val="restart"/>
          </w:tcPr>
          <w:p>
            <w:pPr>
              <w:widowControl w:val="0"/>
              <w:ind w:left="-108" w:right="-108"/>
              <w:contextualSpacing/>
              <w:jc w:val="center"/>
              <w:rPr>
                <w:sz w:val="22"/>
                <w:lang w:eastAsia="ar-SA"/>
              </w:rPr>
            </w:pPr>
            <w:r>
              <w:rPr>
                <w:sz w:val="22"/>
                <w:lang w:eastAsia="ar-SA"/>
              </w:rPr>
              <w:t>2</w:t>
            </w:r>
          </w:p>
        </w:tc>
        <w:tc>
          <w:tcPr>
            <w:tcW w:w="1850" w:type="dxa"/>
            <w:vMerge w:val="restart"/>
          </w:tcPr>
          <w:p>
            <w:pPr>
              <w:widowControl w:val="0"/>
              <w:snapToGrid w:val="0"/>
              <w:ind w:left="-21" w:right="114"/>
              <w:contextualSpacing/>
              <w:jc w:val="center"/>
              <w:rPr>
                <w:sz w:val="22"/>
              </w:rPr>
            </w:pPr>
            <w:proofErr w:type="spellStart"/>
            <w:r>
              <w:rPr>
                <w:sz w:val="22"/>
              </w:rPr>
              <w:t>Противопролеж-невая</w:t>
            </w:r>
            <w:proofErr w:type="spellEnd"/>
            <w:r>
              <w:rPr>
                <w:sz w:val="22"/>
              </w:rPr>
              <w:t xml:space="preserve"> подушка гелевая</w:t>
            </w:r>
          </w:p>
        </w:tc>
        <w:tc>
          <w:tcPr>
            <w:tcW w:w="1701" w:type="dxa"/>
            <w:vMerge w:val="restart"/>
          </w:tcPr>
          <w:p>
            <w:pPr>
              <w:widowControl w:val="0"/>
              <w:tabs>
                <w:tab w:val="num" w:pos="1069"/>
              </w:tabs>
              <w:contextualSpacing/>
              <w:rPr>
                <w:sz w:val="22"/>
                <w:szCs w:val="22"/>
              </w:rPr>
            </w:pPr>
            <w:proofErr w:type="spellStart"/>
            <w:r>
              <w:rPr>
                <w:sz w:val="22"/>
                <w:szCs w:val="22"/>
              </w:rPr>
              <w:t>Противопролеж-невая</w:t>
            </w:r>
            <w:proofErr w:type="spellEnd"/>
            <w:r>
              <w:rPr>
                <w:sz w:val="22"/>
                <w:szCs w:val="22"/>
              </w:rPr>
              <w:t xml:space="preserve"> подушка гелевая</w:t>
            </w:r>
          </w:p>
        </w:tc>
        <w:tc>
          <w:tcPr>
            <w:tcW w:w="3260" w:type="dxa"/>
            <w:tcBorders>
              <w:top w:val="single" w:sz="4" w:space="0" w:color="auto"/>
              <w:left w:val="single" w:sz="4" w:space="0" w:color="auto"/>
              <w:right w:val="single" w:sz="4" w:space="0" w:color="auto"/>
            </w:tcBorders>
            <w:vAlign w:val="center"/>
          </w:tcPr>
          <w:p>
            <w:pPr>
              <w:widowControl w:val="0"/>
              <w:tabs>
                <w:tab w:val="num" w:pos="1069"/>
              </w:tabs>
              <w:contextualSpacing/>
              <w:jc w:val="center"/>
              <w:rPr>
                <w:bCs/>
                <w:sz w:val="22"/>
              </w:rPr>
            </w:pPr>
            <w:r>
              <w:rPr>
                <w:sz w:val="22"/>
              </w:rPr>
              <w:t>Поверхность подушки изготовлена из поролона в форме ячеек</w:t>
            </w:r>
          </w:p>
        </w:tc>
        <w:tc>
          <w:tcPr>
            <w:tcW w:w="1843" w:type="dxa"/>
            <w:tcBorders>
              <w:top w:val="single" w:sz="4" w:space="0" w:color="auto"/>
              <w:left w:val="single" w:sz="4" w:space="0" w:color="auto"/>
              <w:right w:val="single" w:sz="4" w:space="0" w:color="auto"/>
            </w:tcBorders>
            <w:vAlign w:val="center"/>
          </w:tcPr>
          <w:p>
            <w:pPr>
              <w:widowControl w:val="0"/>
              <w:snapToGrid w:val="0"/>
              <w:contextualSpacing/>
              <w:jc w:val="center"/>
              <w:rPr>
                <w:rFonts w:eastAsia="Arial Unicode MS"/>
                <w:sz w:val="22"/>
              </w:rPr>
            </w:pPr>
            <w:r>
              <w:rPr>
                <w:rFonts w:eastAsia="Arial Unicode MS"/>
                <w:sz w:val="22"/>
              </w:rPr>
              <w:t>наличие</w:t>
            </w:r>
          </w:p>
        </w:tc>
        <w:tc>
          <w:tcPr>
            <w:tcW w:w="850" w:type="dxa"/>
            <w:vMerge w:val="restart"/>
          </w:tcPr>
          <w:p>
            <w:pPr>
              <w:widowControl w:val="0"/>
              <w:snapToGrid w:val="0"/>
              <w:ind w:left="-53" w:right="-108"/>
              <w:contextualSpacing/>
              <w:jc w:val="center"/>
              <w:rPr>
                <w:color w:val="2D2D2D"/>
                <w:spacing w:val="2"/>
                <w:sz w:val="22"/>
              </w:rPr>
            </w:pPr>
            <w:r>
              <w:rPr>
                <w:color w:val="2D2D2D"/>
                <w:spacing w:val="2"/>
                <w:sz w:val="22"/>
              </w:rPr>
              <w:t>144</w:t>
            </w:r>
          </w:p>
        </w:tc>
      </w:tr>
      <w:tr>
        <w:trPr>
          <w:trHeight w:val="20"/>
        </w:trPr>
        <w:tc>
          <w:tcPr>
            <w:tcW w:w="277" w:type="dxa"/>
            <w:vMerge/>
          </w:tcPr>
          <w:p>
            <w:pPr>
              <w:widowControl w:val="0"/>
              <w:ind w:left="-108" w:right="-108"/>
              <w:contextualSpacing/>
              <w:jc w:val="center"/>
              <w:rPr>
                <w:sz w:val="22"/>
                <w:lang w:eastAsia="ar-SA"/>
              </w:rPr>
            </w:pPr>
          </w:p>
        </w:tc>
        <w:tc>
          <w:tcPr>
            <w:tcW w:w="1850" w:type="dxa"/>
            <w:vMerge/>
          </w:tcPr>
          <w:p>
            <w:pPr>
              <w:widowControl w:val="0"/>
              <w:snapToGrid w:val="0"/>
              <w:ind w:left="-108" w:right="-108"/>
              <w:contextualSpacing/>
              <w:jc w:val="center"/>
              <w:rPr>
                <w:sz w:val="22"/>
              </w:rPr>
            </w:pPr>
          </w:p>
        </w:tc>
        <w:tc>
          <w:tcPr>
            <w:tcW w:w="1701" w:type="dxa"/>
            <w:vMerge/>
          </w:tcPr>
          <w:p>
            <w:pPr>
              <w:widowControl w:val="0"/>
              <w:snapToGrid w:val="0"/>
              <w:contextualSpacing/>
              <w:jc w:val="center"/>
              <w:rPr>
                <w:sz w:val="22"/>
              </w:rPr>
            </w:pPr>
          </w:p>
        </w:tc>
        <w:tc>
          <w:tcPr>
            <w:tcW w:w="3260" w:type="dxa"/>
            <w:tcBorders>
              <w:top w:val="single" w:sz="4" w:space="0" w:color="auto"/>
              <w:left w:val="single" w:sz="4" w:space="0" w:color="auto"/>
              <w:bottom w:val="single" w:sz="4" w:space="0" w:color="auto"/>
              <w:right w:val="single" w:sz="4" w:space="0" w:color="auto"/>
            </w:tcBorders>
            <w:vAlign w:val="center"/>
          </w:tcPr>
          <w:p>
            <w:pPr>
              <w:widowControl w:val="0"/>
              <w:snapToGrid w:val="0"/>
              <w:contextualSpacing/>
              <w:jc w:val="center"/>
              <w:rPr>
                <w:sz w:val="22"/>
              </w:rPr>
            </w:pPr>
            <w:r>
              <w:rPr>
                <w:sz w:val="22"/>
              </w:rPr>
              <w:t>Внутренний слой подушки - гелевый</w:t>
            </w:r>
          </w:p>
        </w:tc>
        <w:tc>
          <w:tcPr>
            <w:tcW w:w="1843" w:type="dxa"/>
            <w:tcBorders>
              <w:top w:val="single" w:sz="4" w:space="0" w:color="auto"/>
              <w:left w:val="single" w:sz="4" w:space="0" w:color="auto"/>
              <w:bottom w:val="single" w:sz="4" w:space="0" w:color="auto"/>
              <w:right w:val="single" w:sz="4" w:space="0" w:color="auto"/>
            </w:tcBorders>
            <w:vAlign w:val="center"/>
          </w:tcPr>
          <w:p>
            <w:pPr>
              <w:widowControl w:val="0"/>
              <w:snapToGrid w:val="0"/>
              <w:contextualSpacing/>
              <w:jc w:val="center"/>
              <w:rPr>
                <w:rFonts w:eastAsia="Arial Unicode MS"/>
                <w:sz w:val="22"/>
              </w:rPr>
            </w:pPr>
            <w:r>
              <w:rPr>
                <w:rFonts w:eastAsia="Arial Unicode MS"/>
                <w:sz w:val="22"/>
              </w:rPr>
              <w:t>наличие</w:t>
            </w:r>
          </w:p>
        </w:tc>
        <w:tc>
          <w:tcPr>
            <w:tcW w:w="850" w:type="dxa"/>
            <w:vMerge/>
          </w:tcPr>
          <w:p>
            <w:pPr>
              <w:widowControl w:val="0"/>
              <w:snapToGrid w:val="0"/>
              <w:ind w:left="-53" w:right="-108"/>
              <w:contextualSpacing/>
              <w:jc w:val="center"/>
              <w:rPr>
                <w:color w:val="2D2D2D"/>
                <w:spacing w:val="2"/>
                <w:sz w:val="22"/>
              </w:rPr>
            </w:pPr>
          </w:p>
        </w:tc>
      </w:tr>
      <w:tr>
        <w:trPr>
          <w:trHeight w:val="20"/>
        </w:trPr>
        <w:tc>
          <w:tcPr>
            <w:tcW w:w="277" w:type="dxa"/>
            <w:vMerge/>
          </w:tcPr>
          <w:p>
            <w:pPr>
              <w:widowControl w:val="0"/>
              <w:ind w:left="-108" w:right="-108"/>
              <w:contextualSpacing/>
              <w:jc w:val="center"/>
              <w:rPr>
                <w:sz w:val="22"/>
                <w:lang w:eastAsia="ar-SA"/>
              </w:rPr>
            </w:pPr>
          </w:p>
        </w:tc>
        <w:tc>
          <w:tcPr>
            <w:tcW w:w="1850" w:type="dxa"/>
            <w:vMerge/>
          </w:tcPr>
          <w:p>
            <w:pPr>
              <w:widowControl w:val="0"/>
              <w:snapToGrid w:val="0"/>
              <w:ind w:left="-108" w:right="-108"/>
              <w:contextualSpacing/>
              <w:jc w:val="center"/>
              <w:rPr>
                <w:sz w:val="22"/>
              </w:rPr>
            </w:pPr>
          </w:p>
        </w:tc>
        <w:tc>
          <w:tcPr>
            <w:tcW w:w="1701" w:type="dxa"/>
            <w:vMerge/>
          </w:tcPr>
          <w:p>
            <w:pPr>
              <w:widowControl w:val="0"/>
              <w:snapToGrid w:val="0"/>
              <w:contextualSpacing/>
              <w:jc w:val="center"/>
              <w:rPr>
                <w:sz w:val="22"/>
              </w:rPr>
            </w:pPr>
          </w:p>
        </w:tc>
        <w:tc>
          <w:tcPr>
            <w:tcW w:w="3260" w:type="dxa"/>
            <w:tcBorders>
              <w:top w:val="single" w:sz="4" w:space="0" w:color="auto"/>
              <w:left w:val="single" w:sz="4" w:space="0" w:color="auto"/>
              <w:bottom w:val="single" w:sz="4" w:space="0" w:color="auto"/>
              <w:right w:val="single" w:sz="4" w:space="0" w:color="auto"/>
            </w:tcBorders>
            <w:vAlign w:val="center"/>
          </w:tcPr>
          <w:p>
            <w:pPr>
              <w:widowControl w:val="0"/>
              <w:snapToGrid w:val="0"/>
              <w:contextualSpacing/>
              <w:jc w:val="center"/>
              <w:rPr>
                <w:sz w:val="22"/>
              </w:rPr>
            </w:pPr>
            <w:r>
              <w:rPr>
                <w:sz w:val="22"/>
              </w:rPr>
              <w:t>Водонепроницаемый съемный чехол</w:t>
            </w:r>
          </w:p>
        </w:tc>
        <w:tc>
          <w:tcPr>
            <w:tcW w:w="1843" w:type="dxa"/>
            <w:tcBorders>
              <w:top w:val="single" w:sz="4" w:space="0" w:color="auto"/>
              <w:left w:val="single" w:sz="4" w:space="0" w:color="auto"/>
              <w:bottom w:val="single" w:sz="4" w:space="0" w:color="auto"/>
              <w:right w:val="single" w:sz="4" w:space="0" w:color="auto"/>
            </w:tcBorders>
            <w:vAlign w:val="center"/>
          </w:tcPr>
          <w:p>
            <w:pPr>
              <w:widowControl w:val="0"/>
              <w:snapToGrid w:val="0"/>
              <w:contextualSpacing/>
              <w:jc w:val="center"/>
              <w:rPr>
                <w:rFonts w:eastAsia="Arial Unicode MS"/>
                <w:sz w:val="22"/>
              </w:rPr>
            </w:pPr>
            <w:r>
              <w:rPr>
                <w:rFonts w:eastAsia="Arial Unicode MS"/>
                <w:sz w:val="22"/>
              </w:rPr>
              <w:t>наличие</w:t>
            </w:r>
          </w:p>
        </w:tc>
        <w:tc>
          <w:tcPr>
            <w:tcW w:w="850" w:type="dxa"/>
            <w:vMerge/>
          </w:tcPr>
          <w:p>
            <w:pPr>
              <w:widowControl w:val="0"/>
              <w:snapToGrid w:val="0"/>
              <w:ind w:left="-53" w:right="-108"/>
              <w:contextualSpacing/>
              <w:jc w:val="center"/>
              <w:rPr>
                <w:color w:val="2D2D2D"/>
                <w:spacing w:val="2"/>
                <w:sz w:val="22"/>
              </w:rPr>
            </w:pPr>
          </w:p>
        </w:tc>
      </w:tr>
      <w:tr>
        <w:trPr>
          <w:trHeight w:val="20"/>
        </w:trPr>
        <w:tc>
          <w:tcPr>
            <w:tcW w:w="277" w:type="dxa"/>
            <w:vMerge/>
          </w:tcPr>
          <w:p>
            <w:pPr>
              <w:widowControl w:val="0"/>
              <w:ind w:left="-108" w:right="-108"/>
              <w:contextualSpacing/>
              <w:jc w:val="center"/>
              <w:rPr>
                <w:sz w:val="22"/>
                <w:lang w:eastAsia="ar-SA"/>
              </w:rPr>
            </w:pPr>
          </w:p>
        </w:tc>
        <w:tc>
          <w:tcPr>
            <w:tcW w:w="1850" w:type="dxa"/>
            <w:vMerge/>
          </w:tcPr>
          <w:p>
            <w:pPr>
              <w:widowControl w:val="0"/>
              <w:snapToGrid w:val="0"/>
              <w:ind w:left="-108" w:right="-108"/>
              <w:contextualSpacing/>
              <w:jc w:val="center"/>
              <w:rPr>
                <w:sz w:val="22"/>
              </w:rPr>
            </w:pPr>
          </w:p>
        </w:tc>
        <w:tc>
          <w:tcPr>
            <w:tcW w:w="1701" w:type="dxa"/>
            <w:vMerge/>
          </w:tcPr>
          <w:p>
            <w:pPr>
              <w:widowControl w:val="0"/>
              <w:snapToGrid w:val="0"/>
              <w:contextualSpacing/>
              <w:jc w:val="center"/>
              <w:rPr>
                <w:sz w:val="22"/>
              </w:rPr>
            </w:pPr>
          </w:p>
        </w:tc>
        <w:tc>
          <w:tcPr>
            <w:tcW w:w="3260" w:type="dxa"/>
            <w:tcBorders>
              <w:left w:val="single" w:sz="4" w:space="0" w:color="auto"/>
              <w:bottom w:val="single" w:sz="4" w:space="0" w:color="000000"/>
              <w:right w:val="single" w:sz="4" w:space="0" w:color="auto"/>
            </w:tcBorders>
            <w:vAlign w:val="center"/>
          </w:tcPr>
          <w:p>
            <w:pPr>
              <w:widowControl w:val="0"/>
              <w:snapToGrid w:val="0"/>
              <w:contextualSpacing/>
              <w:jc w:val="center"/>
              <w:rPr>
                <w:sz w:val="22"/>
              </w:rPr>
            </w:pPr>
            <w:r>
              <w:rPr>
                <w:sz w:val="22"/>
              </w:rPr>
              <w:t>Поверхность чехла изготовлена из ткани, обеспечивающей циркуляцию воздуха, имеет нескользящую поверхность</w:t>
            </w:r>
          </w:p>
        </w:tc>
        <w:tc>
          <w:tcPr>
            <w:tcW w:w="1843" w:type="dxa"/>
            <w:tcBorders>
              <w:left w:val="single" w:sz="4" w:space="0" w:color="auto"/>
              <w:bottom w:val="single" w:sz="4" w:space="0" w:color="000000"/>
              <w:right w:val="single" w:sz="4" w:space="0" w:color="auto"/>
            </w:tcBorders>
            <w:vAlign w:val="center"/>
          </w:tcPr>
          <w:p>
            <w:pPr>
              <w:widowControl w:val="0"/>
              <w:snapToGrid w:val="0"/>
              <w:contextualSpacing/>
              <w:jc w:val="center"/>
              <w:rPr>
                <w:rFonts w:eastAsia="Arial Unicode MS"/>
                <w:sz w:val="22"/>
              </w:rPr>
            </w:pPr>
            <w:r>
              <w:rPr>
                <w:rFonts w:eastAsia="Arial Unicode MS"/>
                <w:sz w:val="22"/>
              </w:rPr>
              <w:t>наличие</w:t>
            </w:r>
          </w:p>
        </w:tc>
        <w:tc>
          <w:tcPr>
            <w:tcW w:w="850" w:type="dxa"/>
            <w:vMerge/>
          </w:tcPr>
          <w:p>
            <w:pPr>
              <w:widowControl w:val="0"/>
              <w:snapToGrid w:val="0"/>
              <w:ind w:left="-53" w:right="-108"/>
              <w:contextualSpacing/>
              <w:jc w:val="center"/>
              <w:rPr>
                <w:color w:val="2D2D2D"/>
                <w:spacing w:val="2"/>
                <w:sz w:val="22"/>
              </w:rPr>
            </w:pPr>
          </w:p>
        </w:tc>
      </w:tr>
      <w:tr>
        <w:trPr>
          <w:trHeight w:val="20"/>
        </w:trPr>
        <w:tc>
          <w:tcPr>
            <w:tcW w:w="277" w:type="dxa"/>
            <w:vMerge w:val="restart"/>
          </w:tcPr>
          <w:p>
            <w:pPr>
              <w:widowControl w:val="0"/>
              <w:ind w:left="-108" w:right="-108"/>
              <w:contextualSpacing/>
              <w:jc w:val="center"/>
              <w:rPr>
                <w:sz w:val="22"/>
                <w:lang w:eastAsia="ar-SA"/>
              </w:rPr>
            </w:pPr>
            <w:r>
              <w:rPr>
                <w:sz w:val="22"/>
                <w:lang w:eastAsia="ar-SA"/>
              </w:rPr>
              <w:t>3</w:t>
            </w:r>
          </w:p>
        </w:tc>
        <w:tc>
          <w:tcPr>
            <w:tcW w:w="1850" w:type="dxa"/>
            <w:vMerge w:val="restart"/>
          </w:tcPr>
          <w:p>
            <w:pPr>
              <w:widowControl w:val="0"/>
              <w:snapToGrid w:val="0"/>
              <w:ind w:right="114"/>
              <w:contextualSpacing/>
              <w:jc w:val="center"/>
              <w:rPr>
                <w:sz w:val="22"/>
              </w:rPr>
            </w:pPr>
            <w:proofErr w:type="spellStart"/>
            <w:r>
              <w:rPr>
                <w:sz w:val="22"/>
              </w:rPr>
              <w:t>Противопролеж-невая</w:t>
            </w:r>
            <w:proofErr w:type="spellEnd"/>
          </w:p>
          <w:p>
            <w:pPr>
              <w:widowControl w:val="0"/>
              <w:snapToGrid w:val="0"/>
              <w:ind w:right="114"/>
              <w:contextualSpacing/>
              <w:jc w:val="center"/>
              <w:rPr>
                <w:sz w:val="22"/>
              </w:rPr>
            </w:pPr>
            <w:r>
              <w:rPr>
                <w:sz w:val="22"/>
              </w:rPr>
              <w:t xml:space="preserve">подушка </w:t>
            </w:r>
            <w:bookmarkStart w:id="0" w:name="_GoBack"/>
            <w:bookmarkEnd w:id="0"/>
            <w:r>
              <w:rPr>
                <w:sz w:val="22"/>
              </w:rPr>
              <w:t>воздушная</w:t>
            </w:r>
          </w:p>
        </w:tc>
        <w:tc>
          <w:tcPr>
            <w:tcW w:w="1701" w:type="dxa"/>
            <w:vMerge w:val="restart"/>
          </w:tcPr>
          <w:p>
            <w:pPr>
              <w:widowControl w:val="0"/>
              <w:snapToGrid w:val="0"/>
              <w:ind w:right="-108"/>
              <w:contextualSpacing/>
              <w:rPr>
                <w:sz w:val="22"/>
                <w:szCs w:val="22"/>
              </w:rPr>
            </w:pPr>
            <w:proofErr w:type="spellStart"/>
            <w:r>
              <w:rPr>
                <w:sz w:val="22"/>
                <w:szCs w:val="22"/>
              </w:rPr>
              <w:t>Противопролеж-невая</w:t>
            </w:r>
            <w:proofErr w:type="spellEnd"/>
          </w:p>
          <w:p>
            <w:pPr>
              <w:widowControl w:val="0"/>
              <w:tabs>
                <w:tab w:val="num" w:pos="1069"/>
              </w:tabs>
              <w:contextualSpacing/>
              <w:rPr>
                <w:sz w:val="22"/>
                <w:szCs w:val="22"/>
              </w:rPr>
            </w:pPr>
            <w:r>
              <w:rPr>
                <w:sz w:val="22"/>
                <w:szCs w:val="22"/>
              </w:rPr>
              <w:t>подушка воздушная</w:t>
            </w:r>
          </w:p>
        </w:tc>
        <w:tc>
          <w:tcPr>
            <w:tcW w:w="3260" w:type="dxa"/>
            <w:tcBorders>
              <w:top w:val="single" w:sz="4" w:space="0" w:color="auto"/>
              <w:left w:val="single" w:sz="4" w:space="0" w:color="auto"/>
              <w:right w:val="single" w:sz="4" w:space="0" w:color="auto"/>
            </w:tcBorders>
            <w:vAlign w:val="center"/>
          </w:tcPr>
          <w:p>
            <w:pPr>
              <w:widowControl w:val="0"/>
              <w:tabs>
                <w:tab w:val="num" w:pos="1069"/>
              </w:tabs>
              <w:contextualSpacing/>
              <w:jc w:val="center"/>
              <w:rPr>
                <w:sz w:val="22"/>
              </w:rPr>
            </w:pPr>
            <w:r>
              <w:rPr>
                <w:sz w:val="22"/>
              </w:rPr>
              <w:t>Наполняемость внутреннего объема подушки – воздух</w:t>
            </w:r>
          </w:p>
        </w:tc>
        <w:tc>
          <w:tcPr>
            <w:tcW w:w="1843" w:type="dxa"/>
            <w:tcBorders>
              <w:top w:val="single" w:sz="4" w:space="0" w:color="auto"/>
              <w:left w:val="single" w:sz="4" w:space="0" w:color="auto"/>
              <w:right w:val="single" w:sz="4" w:space="0" w:color="auto"/>
            </w:tcBorders>
            <w:vAlign w:val="center"/>
          </w:tcPr>
          <w:p>
            <w:pPr>
              <w:widowControl w:val="0"/>
              <w:snapToGrid w:val="0"/>
              <w:contextualSpacing/>
              <w:jc w:val="center"/>
              <w:rPr>
                <w:rFonts w:eastAsia="Arial Unicode MS"/>
                <w:sz w:val="22"/>
              </w:rPr>
            </w:pPr>
            <w:r>
              <w:rPr>
                <w:rFonts w:eastAsia="Arial Unicode MS"/>
                <w:sz w:val="22"/>
              </w:rPr>
              <w:t>наличие</w:t>
            </w:r>
          </w:p>
        </w:tc>
        <w:tc>
          <w:tcPr>
            <w:tcW w:w="850" w:type="dxa"/>
            <w:vMerge w:val="restart"/>
          </w:tcPr>
          <w:p>
            <w:pPr>
              <w:widowControl w:val="0"/>
              <w:snapToGrid w:val="0"/>
              <w:ind w:left="-53" w:right="-108"/>
              <w:contextualSpacing/>
              <w:jc w:val="center"/>
              <w:rPr>
                <w:color w:val="2D2D2D"/>
                <w:spacing w:val="2"/>
                <w:sz w:val="22"/>
              </w:rPr>
            </w:pPr>
            <w:r>
              <w:rPr>
                <w:color w:val="2D2D2D"/>
                <w:spacing w:val="2"/>
                <w:sz w:val="22"/>
              </w:rPr>
              <w:t>75</w:t>
            </w:r>
          </w:p>
        </w:tc>
      </w:tr>
      <w:tr>
        <w:trPr>
          <w:trHeight w:val="20"/>
        </w:trPr>
        <w:tc>
          <w:tcPr>
            <w:tcW w:w="277" w:type="dxa"/>
            <w:vMerge/>
          </w:tcPr>
          <w:p>
            <w:pPr>
              <w:widowControl w:val="0"/>
              <w:contextualSpacing/>
              <w:jc w:val="both"/>
              <w:rPr>
                <w:b/>
                <w:sz w:val="22"/>
                <w:lang w:eastAsia="ar-SA"/>
              </w:rPr>
            </w:pPr>
          </w:p>
        </w:tc>
        <w:tc>
          <w:tcPr>
            <w:tcW w:w="1850" w:type="dxa"/>
            <w:vMerge/>
          </w:tcPr>
          <w:p>
            <w:pPr>
              <w:widowControl w:val="0"/>
              <w:snapToGrid w:val="0"/>
              <w:contextualSpacing/>
              <w:rPr>
                <w:sz w:val="22"/>
              </w:rPr>
            </w:pPr>
          </w:p>
        </w:tc>
        <w:tc>
          <w:tcPr>
            <w:tcW w:w="1701" w:type="dxa"/>
            <w:vMerge/>
          </w:tcPr>
          <w:p>
            <w:pPr>
              <w:widowControl w:val="0"/>
              <w:snapToGrid w:val="0"/>
              <w:contextualSpacing/>
              <w:jc w:val="center"/>
              <w:rPr>
                <w:sz w:val="22"/>
              </w:rPr>
            </w:pPr>
          </w:p>
        </w:tc>
        <w:tc>
          <w:tcPr>
            <w:tcW w:w="3260" w:type="dxa"/>
            <w:tcBorders>
              <w:top w:val="single" w:sz="4" w:space="0" w:color="auto"/>
              <w:left w:val="single" w:sz="4" w:space="0" w:color="auto"/>
              <w:bottom w:val="single" w:sz="4" w:space="0" w:color="auto"/>
              <w:right w:val="single" w:sz="4" w:space="0" w:color="auto"/>
            </w:tcBorders>
            <w:vAlign w:val="center"/>
          </w:tcPr>
          <w:p>
            <w:pPr>
              <w:widowControl w:val="0"/>
              <w:snapToGrid w:val="0"/>
              <w:contextualSpacing/>
              <w:jc w:val="center"/>
              <w:rPr>
                <w:sz w:val="22"/>
              </w:rPr>
            </w:pPr>
            <w:r>
              <w:rPr>
                <w:sz w:val="22"/>
              </w:rPr>
              <w:t>Изделие состоит из надувных камер</w:t>
            </w:r>
          </w:p>
        </w:tc>
        <w:tc>
          <w:tcPr>
            <w:tcW w:w="1843" w:type="dxa"/>
            <w:tcBorders>
              <w:top w:val="single" w:sz="4" w:space="0" w:color="auto"/>
              <w:left w:val="single" w:sz="4" w:space="0" w:color="auto"/>
              <w:bottom w:val="single" w:sz="4" w:space="0" w:color="auto"/>
              <w:right w:val="single" w:sz="4" w:space="0" w:color="auto"/>
            </w:tcBorders>
            <w:vAlign w:val="center"/>
          </w:tcPr>
          <w:p>
            <w:pPr>
              <w:widowControl w:val="0"/>
              <w:snapToGrid w:val="0"/>
              <w:contextualSpacing/>
              <w:jc w:val="center"/>
              <w:rPr>
                <w:rFonts w:eastAsia="Arial Unicode MS"/>
                <w:sz w:val="22"/>
              </w:rPr>
            </w:pPr>
            <w:r>
              <w:rPr>
                <w:rFonts w:eastAsia="Arial Unicode MS"/>
                <w:sz w:val="22"/>
              </w:rPr>
              <w:t>наличие</w:t>
            </w:r>
          </w:p>
        </w:tc>
        <w:tc>
          <w:tcPr>
            <w:tcW w:w="850" w:type="dxa"/>
            <w:vMerge/>
          </w:tcPr>
          <w:p>
            <w:pPr>
              <w:widowControl w:val="0"/>
              <w:snapToGrid w:val="0"/>
              <w:ind w:left="-53" w:right="-108"/>
              <w:contextualSpacing/>
              <w:jc w:val="center"/>
              <w:rPr>
                <w:color w:val="2D2D2D"/>
                <w:spacing w:val="2"/>
                <w:sz w:val="22"/>
              </w:rPr>
            </w:pPr>
          </w:p>
        </w:tc>
      </w:tr>
      <w:tr>
        <w:trPr>
          <w:trHeight w:val="20"/>
        </w:trPr>
        <w:tc>
          <w:tcPr>
            <w:tcW w:w="8931" w:type="dxa"/>
            <w:gridSpan w:val="5"/>
            <w:tcBorders>
              <w:right w:val="single" w:sz="4" w:space="0" w:color="auto"/>
            </w:tcBorders>
          </w:tcPr>
          <w:p>
            <w:pPr>
              <w:widowControl w:val="0"/>
              <w:snapToGrid w:val="0"/>
              <w:contextualSpacing/>
              <w:jc w:val="center"/>
              <w:rPr>
                <w:rFonts w:eastAsia="Arial Unicode MS"/>
                <w:b/>
                <w:sz w:val="22"/>
                <w:lang w:val="en-US"/>
              </w:rPr>
            </w:pPr>
            <w:r>
              <w:rPr>
                <w:rFonts w:eastAsia="Arial Unicode MS"/>
                <w:sz w:val="22"/>
                <w:lang w:val="en-US"/>
              </w:rPr>
              <w:t xml:space="preserve">                                                                                                                                                            </w:t>
            </w:r>
            <w:r>
              <w:rPr>
                <w:rFonts w:eastAsia="Arial Unicode MS"/>
                <w:b/>
                <w:sz w:val="22"/>
              </w:rPr>
              <w:t>Итого</w:t>
            </w:r>
            <w:r>
              <w:rPr>
                <w:rFonts w:eastAsia="Arial Unicode MS"/>
                <w:b/>
                <w:sz w:val="22"/>
                <w:lang w:val="en-US"/>
              </w:rPr>
              <w:t>:</w:t>
            </w:r>
          </w:p>
        </w:tc>
        <w:tc>
          <w:tcPr>
            <w:tcW w:w="850" w:type="dxa"/>
          </w:tcPr>
          <w:p>
            <w:pPr>
              <w:widowControl w:val="0"/>
              <w:snapToGrid w:val="0"/>
              <w:ind w:left="-53" w:right="-108"/>
              <w:contextualSpacing/>
              <w:jc w:val="center"/>
              <w:rPr>
                <w:b/>
                <w:color w:val="2D2D2D"/>
                <w:spacing w:val="2"/>
                <w:sz w:val="22"/>
              </w:rPr>
            </w:pPr>
            <w:r>
              <w:rPr>
                <w:b/>
                <w:color w:val="2D2D2D"/>
                <w:spacing w:val="2"/>
                <w:sz w:val="22"/>
              </w:rPr>
              <w:t>489</w:t>
            </w:r>
          </w:p>
        </w:tc>
      </w:tr>
    </w:tbl>
    <w:p>
      <w:pPr>
        <w:jc w:val="both"/>
        <w:rPr>
          <w:sz w:val="24"/>
          <w:szCs w:val="24"/>
        </w:rPr>
      </w:pPr>
    </w:p>
    <w:p>
      <w:pPr>
        <w:jc w:val="both"/>
        <w:rPr>
          <w:b/>
          <w:sz w:val="24"/>
          <w:szCs w:val="24"/>
        </w:rPr>
      </w:pPr>
      <w:r>
        <w:rPr>
          <w:b/>
          <w:sz w:val="24"/>
          <w:szCs w:val="24"/>
        </w:rPr>
        <w:t>Обоснование включения дополнительной информации в сведения о товаре, работе, услуге:</w:t>
      </w:r>
    </w:p>
    <w:p>
      <w:pPr>
        <w:jc w:val="both"/>
        <w:rPr>
          <w:b/>
          <w:sz w:val="22"/>
          <w:szCs w:val="24"/>
        </w:rPr>
      </w:pPr>
      <w:r>
        <w:rPr>
          <w:sz w:val="24"/>
          <w:szCs w:val="26"/>
        </w:rPr>
        <w:t>-     Приказ Министерства труда и социальной защиты РФ от 05.03.2021 № 107н;</w:t>
      </w:r>
    </w:p>
    <w:p>
      <w:pPr>
        <w:tabs>
          <w:tab w:val="center" w:pos="4677"/>
        </w:tabs>
        <w:jc w:val="both"/>
        <w:rPr>
          <w:sz w:val="24"/>
          <w:szCs w:val="24"/>
        </w:rPr>
      </w:pPr>
      <w:r>
        <w:rPr>
          <w:sz w:val="24"/>
          <w:szCs w:val="24"/>
        </w:rPr>
        <w:t xml:space="preserve">- Методические рекомендации по установлению медицинских показаний и противопоказаний при назначении специалистами медико-социальной экспертизы технических средств реабилитации инвалида и методика их рационального подбора, разработанные и утвержденные Минтрудом России в 2018 году (издание третье переработанное). </w:t>
      </w:r>
    </w:p>
    <w:p>
      <w:pPr>
        <w:tabs>
          <w:tab w:val="center" w:pos="4677"/>
        </w:tabs>
        <w:jc w:val="both"/>
        <w:rPr>
          <w:sz w:val="24"/>
          <w:szCs w:val="24"/>
        </w:rPr>
      </w:pPr>
      <w:r>
        <w:rPr>
          <w:sz w:val="24"/>
          <w:szCs w:val="24"/>
        </w:rPr>
        <w:t>ГОСТ Р 57769-2021 «Матрацы и подушки противопролежневые. Типы и основные параметры».</w:t>
      </w:r>
    </w:p>
    <w:p>
      <w:pPr>
        <w:widowControl w:val="0"/>
        <w:jc w:val="both"/>
        <w:rPr>
          <w:sz w:val="24"/>
          <w:szCs w:val="24"/>
        </w:rPr>
      </w:pPr>
      <w:r>
        <w:rPr>
          <w:sz w:val="24"/>
          <w:szCs w:val="24"/>
        </w:rPr>
        <w:t>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РФ от 07.02.1992 № 2300-1 «О защите прав потребителей»).</w:t>
      </w:r>
    </w:p>
    <w:p>
      <w:pPr>
        <w:widowControl w:val="0"/>
        <w:jc w:val="both"/>
        <w:rPr>
          <w:sz w:val="24"/>
          <w:szCs w:val="24"/>
        </w:rPr>
      </w:pPr>
      <w:r>
        <w:rPr>
          <w:sz w:val="24"/>
          <w:szCs w:val="24"/>
        </w:rPr>
        <w:t xml:space="preserve">3.2. Товар должен соответствовать требованиям государственного стандарта (ГОСТ), действующего на территории Российской Федерации ГОСТ Р 57769-2021 «Матрацы и </w:t>
      </w:r>
      <w:r>
        <w:rPr>
          <w:sz w:val="24"/>
          <w:szCs w:val="24"/>
        </w:rPr>
        <w:lastRenderedPageBreak/>
        <w:t>подушки противопролежневые. Типы и основные параметры». Методические рекомендации по установлению медицинских показаний и противопоказаний при назначении специалистами медико-социальной экспертизы технических средств реабилитации инвалида и методика их рационального подбора, разработанные и утвержденные Минтрудом России в 2018 году (издание третье переработанное).</w:t>
      </w:r>
    </w:p>
    <w:p>
      <w:pPr>
        <w:widowControl w:val="0"/>
        <w:jc w:val="both"/>
        <w:rPr>
          <w:sz w:val="24"/>
          <w:szCs w:val="24"/>
        </w:rPr>
      </w:pPr>
      <w:r>
        <w:rPr>
          <w:sz w:val="24"/>
          <w:szCs w:val="24"/>
        </w:rPr>
        <w:t>3.3.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pPr>
        <w:widowControl w:val="0"/>
        <w:jc w:val="both"/>
        <w:rPr>
          <w:sz w:val="24"/>
          <w:szCs w:val="24"/>
        </w:rPr>
      </w:pPr>
      <w:r>
        <w:rPr>
          <w:sz w:val="24"/>
          <w:szCs w:val="24"/>
        </w:rPr>
        <w:t>3.4.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 4.11.5 ГОСТ Р 51632-2021 «Технические средства реабилитации людей с ограничениями жизнедеятельности. Общие технические требования и методы испытаний»).</w:t>
      </w:r>
    </w:p>
    <w:p>
      <w:pPr>
        <w:widowControl w:val="0"/>
        <w:jc w:val="both"/>
        <w:rPr>
          <w:sz w:val="24"/>
          <w:szCs w:val="24"/>
        </w:rPr>
      </w:pPr>
      <w:r>
        <w:rPr>
          <w:sz w:val="24"/>
          <w:szCs w:val="24"/>
        </w:rPr>
        <w:t xml:space="preserve">3.5.  Гарантийный срок Товара составляет 12 месяцев со дня подписания Получателем акта приема-передачи Товара. </w:t>
      </w:r>
    </w:p>
    <w:p>
      <w:pPr>
        <w:widowControl w:val="0"/>
        <w:jc w:val="both"/>
        <w:rPr>
          <w:sz w:val="24"/>
          <w:szCs w:val="24"/>
        </w:rPr>
      </w:pPr>
      <w:r>
        <w:rPr>
          <w:sz w:val="24"/>
          <w:szCs w:val="24"/>
        </w:rPr>
        <w:t>Установленный гарантийный срок эксплуатации не распространяется на случаи нарушения Получателем условий и требований к эксплуатации Товара.</w:t>
      </w:r>
    </w:p>
    <w:p>
      <w:pPr>
        <w:widowControl w:val="0"/>
        <w:jc w:val="both"/>
        <w:rPr>
          <w:sz w:val="24"/>
          <w:szCs w:val="24"/>
        </w:rPr>
      </w:pPr>
      <w:r>
        <w:rPr>
          <w:sz w:val="24"/>
          <w:szCs w:val="24"/>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pPr>
        <w:widowControl w:val="0"/>
        <w:jc w:val="both"/>
        <w:rPr>
          <w:sz w:val="24"/>
          <w:szCs w:val="24"/>
        </w:rPr>
      </w:pPr>
      <w:r>
        <w:rPr>
          <w:sz w:val="24"/>
          <w:szCs w:val="24"/>
        </w:rPr>
        <w:t>Срок выполнения гарантийного ремонта Товара не должен превышать 20 рабочих дней со дня обращения Получателя (Заказчика).</w:t>
      </w:r>
    </w:p>
    <w:p>
      <w:pPr>
        <w:widowControl w:val="0"/>
        <w:jc w:val="both"/>
        <w:rPr>
          <w:sz w:val="24"/>
          <w:szCs w:val="24"/>
        </w:rPr>
      </w:pPr>
      <w:r>
        <w:rPr>
          <w:sz w:val="24"/>
          <w:szCs w:val="24"/>
        </w:rPr>
        <w:t>Срок осуществления замены Товара не должен превышать 15 рабочих дней со дня обращения Получателя (Заказчика).</w:t>
      </w:r>
    </w:p>
    <w:p>
      <w:pPr>
        <w:widowControl w:val="0"/>
        <w:jc w:val="both"/>
        <w:rPr>
          <w:sz w:val="24"/>
          <w:szCs w:val="24"/>
        </w:rPr>
      </w:pPr>
      <w:r>
        <w:rPr>
          <w:sz w:val="24"/>
          <w:szCs w:val="24"/>
        </w:rPr>
        <w:t>В связи с тем, что передача Товара осуществляется непосредственно Получателю, Поставщик должен вместе с Товаром передать Получателю гарантийный талон или иной документ, содержащий сведения, необходимые для обращения к Поставщику по вопросам гарантийного ремонта (замены) Товара, а также содержащий адрес (адреса) и режим работы пункта (пунктов) приема Получателей.</w:t>
      </w:r>
    </w:p>
    <w:p>
      <w:pPr>
        <w:widowControl w:val="0"/>
        <w:jc w:val="both"/>
        <w:rPr>
          <w:sz w:val="24"/>
          <w:szCs w:val="24"/>
        </w:rPr>
      </w:pPr>
      <w:r>
        <w:rPr>
          <w:sz w:val="24"/>
          <w:szCs w:val="24"/>
        </w:rPr>
        <w:t>Прием Получателей по вопросам, касающимся выдачи и гарантийного ремонта Товара, осуществляется Поставщиком по месту нахождения организованных Поставщиком пунктов приема на территории Санкт-Петербурга.</w:t>
      </w:r>
    </w:p>
    <w:p>
      <w:pPr>
        <w:widowControl w:val="0"/>
        <w:autoSpaceDE w:val="0"/>
        <w:autoSpaceDN w:val="0"/>
        <w:adjustRightInd w:val="0"/>
        <w:jc w:val="both"/>
        <w:rPr>
          <w:sz w:val="24"/>
          <w:szCs w:val="24"/>
        </w:rPr>
      </w:pPr>
      <w:r>
        <w:rPr>
          <w:sz w:val="24"/>
          <w:szCs w:val="24"/>
        </w:rPr>
        <w:t>4. Поставщик обязан:</w:t>
      </w:r>
    </w:p>
    <w:p>
      <w:pPr>
        <w:widowControl w:val="0"/>
        <w:autoSpaceDE w:val="0"/>
        <w:autoSpaceDN w:val="0"/>
        <w:adjustRightInd w:val="0"/>
        <w:jc w:val="both"/>
        <w:rPr>
          <w:sz w:val="24"/>
          <w:szCs w:val="24"/>
        </w:rPr>
      </w:pPr>
      <w:r>
        <w:rPr>
          <w:sz w:val="24"/>
          <w:szCs w:val="24"/>
        </w:rPr>
        <w:t xml:space="preserve">4.1. Поставлять Товар для Получателей, имеющий действующие регистрационные удостоверения,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w:t>
      </w:r>
    </w:p>
    <w:p>
      <w:pPr>
        <w:widowControl w:val="0"/>
        <w:autoSpaceDE w:val="0"/>
        <w:autoSpaceDN w:val="0"/>
        <w:adjustRightInd w:val="0"/>
        <w:jc w:val="both"/>
        <w:rPr>
          <w:sz w:val="24"/>
          <w:szCs w:val="24"/>
        </w:rPr>
      </w:pPr>
      <w:r>
        <w:rPr>
          <w:sz w:val="24"/>
          <w:szCs w:val="24"/>
        </w:rPr>
        <w:t>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pPr>
        <w:widowControl w:val="0"/>
        <w:autoSpaceDE w:val="0"/>
        <w:autoSpaceDN w:val="0"/>
        <w:adjustRightInd w:val="0"/>
        <w:jc w:val="both"/>
        <w:rPr>
          <w:sz w:val="24"/>
          <w:szCs w:val="24"/>
        </w:rPr>
      </w:pPr>
      <w:r>
        <w:rPr>
          <w:sz w:val="24"/>
          <w:szCs w:val="24"/>
        </w:rPr>
        <w:t>4.2. 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pPr>
        <w:widowControl w:val="0"/>
        <w:autoSpaceDE w:val="0"/>
        <w:autoSpaceDN w:val="0"/>
        <w:adjustRightInd w:val="0"/>
        <w:jc w:val="both"/>
        <w:rPr>
          <w:sz w:val="24"/>
          <w:szCs w:val="24"/>
        </w:rPr>
      </w:pPr>
      <w:r>
        <w:rPr>
          <w:sz w:val="24"/>
          <w:szCs w:val="24"/>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w:t>
      </w:r>
      <w:r>
        <w:rPr>
          <w:sz w:val="24"/>
          <w:szCs w:val="24"/>
        </w:rPr>
        <w:lastRenderedPageBreak/>
        <w:t>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pPr>
        <w:widowControl w:val="0"/>
        <w:autoSpaceDE w:val="0"/>
        <w:autoSpaceDN w:val="0"/>
        <w:adjustRightInd w:val="0"/>
        <w:jc w:val="both"/>
        <w:rPr>
          <w:sz w:val="24"/>
          <w:szCs w:val="24"/>
        </w:rPr>
      </w:pPr>
      <w:r>
        <w:rPr>
          <w:sz w:val="24"/>
          <w:szCs w:val="24"/>
        </w:rPr>
        <w:t>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Санкт-Петербурга и Ленинградской области 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pPr>
        <w:widowControl w:val="0"/>
        <w:autoSpaceDE w:val="0"/>
        <w:autoSpaceDN w:val="0"/>
        <w:adjustRightInd w:val="0"/>
        <w:jc w:val="both"/>
        <w:rPr>
          <w:sz w:val="24"/>
          <w:szCs w:val="24"/>
        </w:rPr>
      </w:pPr>
      <w:r>
        <w:rPr>
          <w:sz w:val="24"/>
          <w:szCs w:val="24"/>
        </w:rPr>
        <w:t>4.3. Обеспечить возможность выдачи Товара со дня, следующего за днем поступления Товара в Ленинградскую область в соответствии с календарным планом. В дальнейшем в пунктах приема ежедневно должно находиться количество Товара всех наименований в количестве, достаточном для бесперебойной выдачи.</w:t>
      </w:r>
    </w:p>
    <w:p>
      <w:pPr>
        <w:widowControl w:val="0"/>
        <w:autoSpaceDE w:val="0"/>
        <w:autoSpaceDN w:val="0"/>
        <w:adjustRightInd w:val="0"/>
        <w:jc w:val="both"/>
        <w:rPr>
          <w:sz w:val="24"/>
          <w:szCs w:val="24"/>
        </w:rPr>
      </w:pPr>
      <w:r>
        <w:rPr>
          <w:sz w:val="24"/>
          <w:szCs w:val="24"/>
        </w:rPr>
        <w:t>4.4. Давать справки Получателям по вопросам, связанным с поставкой Товара, в часы работы пункта (пунктов) приема Получателей. Для звонков Получателей должен быть выделен телефонный номер. Информацию о телефонном номере Поставщик должен предоставить Заказчику не позднее 1 (одного) дня со дня заключения контракта.</w:t>
      </w:r>
    </w:p>
    <w:p>
      <w:pPr>
        <w:widowControl w:val="0"/>
        <w:autoSpaceDE w:val="0"/>
        <w:autoSpaceDN w:val="0"/>
        <w:adjustRightInd w:val="0"/>
        <w:jc w:val="both"/>
        <w:rPr>
          <w:sz w:val="24"/>
          <w:szCs w:val="24"/>
        </w:rPr>
      </w:pPr>
      <w:r>
        <w:rPr>
          <w:sz w:val="24"/>
          <w:szCs w:val="24"/>
        </w:rPr>
        <w:t xml:space="preserve">Звонки с городских номеров Санкт-Петербурга и Ленинградской области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 Ленинградской области; исключается возможность взимания оплаты за звонки Поставщиком. </w:t>
      </w:r>
    </w:p>
    <w:p>
      <w:pPr>
        <w:widowControl w:val="0"/>
        <w:autoSpaceDE w:val="0"/>
        <w:autoSpaceDN w:val="0"/>
        <w:adjustRightInd w:val="0"/>
        <w:jc w:val="both"/>
        <w:rPr>
          <w:sz w:val="24"/>
          <w:szCs w:val="24"/>
        </w:rPr>
      </w:pPr>
      <w:r>
        <w:rPr>
          <w:sz w:val="24"/>
          <w:szCs w:val="24"/>
        </w:rPr>
        <w:t>4.5.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инвалидами способа, места и времени доставки Товара.</w:t>
      </w:r>
    </w:p>
    <w:p>
      <w:pPr>
        <w:widowControl w:val="0"/>
        <w:autoSpaceDE w:val="0"/>
        <w:autoSpaceDN w:val="0"/>
        <w:adjustRightInd w:val="0"/>
        <w:jc w:val="both"/>
        <w:rPr>
          <w:sz w:val="24"/>
          <w:szCs w:val="24"/>
        </w:rPr>
      </w:pPr>
      <w:r>
        <w:rPr>
          <w:sz w:val="24"/>
          <w:szCs w:val="24"/>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pPr>
        <w:widowControl w:val="0"/>
        <w:autoSpaceDE w:val="0"/>
        <w:autoSpaceDN w:val="0"/>
        <w:adjustRightInd w:val="0"/>
        <w:jc w:val="both"/>
        <w:rPr>
          <w:sz w:val="24"/>
          <w:szCs w:val="24"/>
        </w:rPr>
      </w:pPr>
      <w:r>
        <w:rPr>
          <w:sz w:val="24"/>
          <w:szCs w:val="24"/>
        </w:rPr>
        <w:t>4.6. Давать справки Получателям по вопросам, связанным с поставкой Товара, а также осуществлять прием заявок на доставку по месту нахождения Получателя.</w:t>
      </w:r>
    </w:p>
    <w:p>
      <w:pPr>
        <w:widowControl w:val="0"/>
        <w:autoSpaceDE w:val="0"/>
        <w:autoSpaceDN w:val="0"/>
        <w:adjustRightInd w:val="0"/>
        <w:jc w:val="both"/>
        <w:rPr>
          <w:sz w:val="24"/>
          <w:szCs w:val="24"/>
        </w:rPr>
      </w:pPr>
      <w:r>
        <w:rPr>
          <w:sz w:val="24"/>
          <w:szCs w:val="24"/>
        </w:rPr>
        <w:t>4.7.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osp@ro78.fss.ru, tsrfil31@ro78.fss.ru.</w:t>
      </w:r>
    </w:p>
    <w:p>
      <w:pPr>
        <w:widowControl w:val="0"/>
        <w:autoSpaceDE w:val="0"/>
        <w:autoSpaceDN w:val="0"/>
        <w:adjustRightInd w:val="0"/>
        <w:jc w:val="both"/>
        <w:rPr>
          <w:sz w:val="24"/>
          <w:szCs w:val="24"/>
        </w:rPr>
      </w:pPr>
      <w:r>
        <w:rPr>
          <w:sz w:val="24"/>
          <w:szCs w:val="24"/>
        </w:rPr>
        <w:t xml:space="preserve">4.8.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pPr>
        <w:widowControl w:val="0"/>
        <w:autoSpaceDE w:val="0"/>
        <w:autoSpaceDN w:val="0"/>
        <w:adjustRightInd w:val="0"/>
        <w:jc w:val="both"/>
        <w:rPr>
          <w:sz w:val="24"/>
          <w:szCs w:val="24"/>
        </w:rPr>
      </w:pPr>
      <w:r>
        <w:rPr>
          <w:sz w:val="24"/>
          <w:szCs w:val="24"/>
        </w:rPr>
        <w:t>- наименование, фирменное наименование (при наличии), место нахождения, почтовый адрес (для юридического лица);</w:t>
      </w:r>
    </w:p>
    <w:p>
      <w:pPr>
        <w:widowControl w:val="0"/>
        <w:autoSpaceDE w:val="0"/>
        <w:autoSpaceDN w:val="0"/>
        <w:adjustRightInd w:val="0"/>
        <w:jc w:val="both"/>
        <w:rPr>
          <w:sz w:val="24"/>
          <w:szCs w:val="24"/>
        </w:rPr>
      </w:pPr>
      <w:r>
        <w:rPr>
          <w:sz w:val="24"/>
          <w:szCs w:val="24"/>
        </w:rPr>
        <w:t>- фамилия, имя, отчество (при наличии), паспортные данные, место жительства (для физического лица);</w:t>
      </w:r>
    </w:p>
    <w:p>
      <w:pPr>
        <w:widowControl w:val="0"/>
        <w:autoSpaceDE w:val="0"/>
        <w:autoSpaceDN w:val="0"/>
        <w:adjustRightInd w:val="0"/>
        <w:jc w:val="both"/>
        <w:rPr>
          <w:sz w:val="24"/>
          <w:szCs w:val="24"/>
        </w:rPr>
      </w:pPr>
      <w:r>
        <w:rPr>
          <w:sz w:val="24"/>
          <w:szCs w:val="24"/>
        </w:rPr>
        <w:t xml:space="preserve">- номер контактного телефона; </w:t>
      </w:r>
    </w:p>
    <w:p>
      <w:pPr>
        <w:widowControl w:val="0"/>
        <w:autoSpaceDE w:val="0"/>
        <w:autoSpaceDN w:val="0"/>
        <w:adjustRightInd w:val="0"/>
        <w:jc w:val="both"/>
        <w:rPr>
          <w:sz w:val="24"/>
          <w:szCs w:val="24"/>
        </w:rPr>
      </w:pPr>
      <w:r>
        <w:rPr>
          <w:sz w:val="24"/>
          <w:szCs w:val="24"/>
        </w:rPr>
        <w:t>- адрес электронной почты;</w:t>
      </w:r>
    </w:p>
    <w:p>
      <w:pPr>
        <w:widowControl w:val="0"/>
        <w:autoSpaceDE w:val="0"/>
        <w:autoSpaceDN w:val="0"/>
        <w:adjustRightInd w:val="0"/>
        <w:jc w:val="both"/>
        <w:rPr>
          <w:sz w:val="24"/>
          <w:szCs w:val="24"/>
        </w:rPr>
      </w:pPr>
      <w:r>
        <w:rPr>
          <w:sz w:val="24"/>
          <w:szCs w:val="24"/>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pPr>
        <w:widowControl w:val="0"/>
        <w:autoSpaceDE w:val="0"/>
        <w:autoSpaceDN w:val="0"/>
        <w:adjustRightInd w:val="0"/>
        <w:jc w:val="both"/>
        <w:rPr>
          <w:sz w:val="24"/>
          <w:szCs w:val="24"/>
        </w:rPr>
      </w:pPr>
      <w:r>
        <w:rPr>
          <w:sz w:val="24"/>
          <w:szCs w:val="24"/>
        </w:rPr>
        <w:t>- перечень операций, выполняемых соисполнителем в рамках контракта;</w:t>
      </w:r>
    </w:p>
    <w:p>
      <w:pPr>
        <w:widowControl w:val="0"/>
        <w:autoSpaceDE w:val="0"/>
        <w:autoSpaceDN w:val="0"/>
        <w:adjustRightInd w:val="0"/>
        <w:jc w:val="both"/>
        <w:rPr>
          <w:sz w:val="24"/>
          <w:szCs w:val="24"/>
        </w:rPr>
      </w:pPr>
      <w:r>
        <w:rPr>
          <w:sz w:val="24"/>
          <w:szCs w:val="24"/>
        </w:rPr>
        <w:t>- срок соисполнительства.</w:t>
      </w:r>
    </w:p>
    <w:p>
      <w:pPr>
        <w:widowControl w:val="0"/>
        <w:autoSpaceDE w:val="0"/>
        <w:autoSpaceDN w:val="0"/>
        <w:adjustRightInd w:val="0"/>
        <w:jc w:val="both"/>
        <w:rPr>
          <w:sz w:val="24"/>
          <w:szCs w:val="24"/>
        </w:rPr>
      </w:pPr>
      <w:r>
        <w:rPr>
          <w:sz w:val="24"/>
          <w:szCs w:val="24"/>
        </w:rPr>
        <w:lastRenderedPageBreak/>
        <w:t>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pPr>
        <w:widowControl w:val="0"/>
        <w:autoSpaceDE w:val="0"/>
        <w:autoSpaceDN w:val="0"/>
        <w:adjustRightInd w:val="0"/>
        <w:jc w:val="both"/>
        <w:rPr>
          <w:sz w:val="24"/>
          <w:szCs w:val="24"/>
        </w:rPr>
      </w:pPr>
      <w:r>
        <w:rPr>
          <w:sz w:val="24"/>
          <w:szCs w:val="24"/>
        </w:rPr>
        <w:t>При досрочном расторжении договора между Поставщиком и соисполнителем Поставщик уведомить об этом Заказчика в срок не позднее 1 (одного) рабочего дня со дня расторжения такого договора.</w:t>
      </w:r>
    </w:p>
    <w:p>
      <w:pPr>
        <w:widowControl w:val="0"/>
        <w:autoSpaceDE w:val="0"/>
        <w:autoSpaceDN w:val="0"/>
        <w:adjustRightInd w:val="0"/>
        <w:jc w:val="both"/>
        <w:rPr>
          <w:sz w:val="24"/>
          <w:szCs w:val="24"/>
        </w:rPr>
      </w:pPr>
      <w:r>
        <w:rPr>
          <w:sz w:val="24"/>
          <w:szCs w:val="24"/>
        </w:rPr>
        <w:t>Информация предоставляется сопроводительным письмом с приложением подтверждающих документов на бумажном носителе и в электронном виде по адресу osp@ro78.fss.ru.</w:t>
      </w:r>
    </w:p>
    <w:p>
      <w:pPr>
        <w:shd w:val="clear" w:color="auto" w:fill="FFFFFF"/>
        <w:jc w:val="both"/>
        <w:rPr>
          <w:color w:val="212121"/>
          <w:sz w:val="24"/>
          <w:szCs w:val="24"/>
        </w:rPr>
      </w:pPr>
      <w:r>
        <w:rPr>
          <w:color w:val="212121"/>
          <w:sz w:val="24"/>
          <w:szCs w:val="24"/>
        </w:rPr>
        <w:t>5. Способ поставки:</w:t>
      </w:r>
    </w:p>
    <w:p>
      <w:pPr>
        <w:shd w:val="clear" w:color="auto" w:fill="FFFFFF"/>
        <w:rPr>
          <w:color w:val="212121"/>
          <w:sz w:val="24"/>
          <w:szCs w:val="24"/>
        </w:rPr>
      </w:pPr>
      <w:r>
        <w:rPr>
          <w:color w:val="212121"/>
          <w:sz w:val="24"/>
          <w:szCs w:val="24"/>
        </w:rPr>
        <w:t>5.1. Предоставить Получателям согласно реестру получателей Товара право выбора одного из способов получения Товара:</w:t>
      </w:r>
    </w:p>
    <w:p>
      <w:pPr>
        <w:shd w:val="clear" w:color="auto" w:fill="FFFFFF"/>
        <w:spacing w:line="224" w:lineRule="atLeast"/>
        <w:ind w:left="175" w:right="8" w:hanging="140"/>
        <w:rPr>
          <w:color w:val="212121"/>
          <w:sz w:val="24"/>
          <w:szCs w:val="24"/>
        </w:rPr>
      </w:pPr>
      <w:r>
        <w:rPr>
          <w:color w:val="000000"/>
          <w:sz w:val="24"/>
          <w:szCs w:val="24"/>
          <w:bdr w:val="none" w:sz="0" w:space="0" w:color="auto" w:frame="1"/>
        </w:rPr>
        <w:t>-  </w:t>
      </w:r>
      <w:r>
        <w:rPr>
          <w:color w:val="212121"/>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pPr>
        <w:shd w:val="clear" w:color="auto" w:fill="FFFFFF"/>
        <w:spacing w:line="224" w:lineRule="atLeast"/>
        <w:ind w:left="175" w:right="8" w:hanging="140"/>
        <w:rPr>
          <w:color w:val="212121"/>
          <w:sz w:val="24"/>
          <w:szCs w:val="24"/>
        </w:rPr>
      </w:pPr>
      <w:r>
        <w:rPr>
          <w:color w:val="000000"/>
          <w:sz w:val="24"/>
          <w:szCs w:val="24"/>
          <w:bdr w:val="none" w:sz="0" w:space="0" w:color="auto" w:frame="1"/>
        </w:rPr>
        <w:t>-  </w:t>
      </w:r>
      <w:r>
        <w:rPr>
          <w:color w:val="212121"/>
          <w:sz w:val="24"/>
          <w:szCs w:val="24"/>
        </w:rPr>
        <w:t>в пункте (пунктах) приема Получателей, организованных Поставщиком.</w:t>
      </w:r>
    </w:p>
    <w:p>
      <w:pPr>
        <w:autoSpaceDE w:val="0"/>
        <w:autoSpaceDN w:val="0"/>
        <w:adjustRightInd w:val="0"/>
        <w:jc w:val="both"/>
        <w:rPr>
          <w:rFonts w:eastAsia="Calibri"/>
          <w:color w:val="000000"/>
          <w:sz w:val="24"/>
          <w:szCs w:val="24"/>
          <w:lang w:eastAsia="en-US"/>
        </w:rPr>
      </w:pPr>
      <w:r>
        <w:rPr>
          <w:color w:val="212121"/>
          <w:sz w:val="24"/>
          <w:szCs w:val="24"/>
        </w:rPr>
        <w:t>Поставщик обязан предоставлять Получателям право выбора способа получения Товара. 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Поставщика.</w:t>
      </w:r>
      <w:r>
        <w:rPr>
          <w:rFonts w:eastAsia="Calibri"/>
          <w:color w:val="000000"/>
          <w:sz w:val="24"/>
          <w:szCs w:val="24"/>
          <w:lang w:eastAsia="en-US"/>
        </w:rPr>
        <w:t xml:space="preserve"> </w:t>
      </w:r>
    </w:p>
    <w:p>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 xml:space="preserve">5.2. 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1 (одного) пункта приема Получателей в срок не позднее 1 (одного) рабочего дня с даты заключения государственного контракта в г. Санкт-Петербург, который должен действовать до конца выдачи Товара, согласно условиям Технического задания. При организации нескольких пунктов приема Получателей на территории Санкт-Петербурга и (или) Ленинградской области, они должны быть организованы в различных районах Санкт-Петербурга и (или) Ленинградской области. </w:t>
      </w:r>
    </w:p>
    <w:p>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Пункт (пункты) приема Получателей, организованные на территории Санкт-Петербурга должны быть расположены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 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 xml:space="preserve">В соответствии с частью 2 статьи 12 Федерального закона от 30.12.2009 №384-ФЗ «Технический регламент о безопасности зданий и сооружений» </w:t>
      </w:r>
    </w:p>
    <w:p>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В городе Санкт-Петербург таким объектом транспортной инфраструктуры, отвечающим установленным требованиям, является метрополитен.</w:t>
      </w:r>
    </w:p>
    <w:p>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Пункты приема Получателей, организованные на территории Ленинградской области должны находиться на территории административных центров муниципальных районов, административного центра городского округа, в пешей доступности от остановок общественного транспорта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lastRenderedPageBreak/>
        <w:t xml:space="preserve">Требования к организации пунктов приема Получателей Товара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Не позднее 1 (одного) рабочего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Не позднее 1 (одного) рабочего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pPr>
        <w:shd w:val="clear" w:color="auto" w:fill="FFFFFF"/>
        <w:ind w:left="45" w:right="8"/>
        <w:rPr>
          <w:color w:val="212121"/>
          <w:sz w:val="24"/>
          <w:szCs w:val="24"/>
        </w:rPr>
      </w:pPr>
    </w:p>
    <w:p>
      <w:pPr>
        <w:shd w:val="clear" w:color="auto" w:fill="FFFFFF"/>
        <w:jc w:val="both"/>
        <w:rPr>
          <w:color w:val="212121"/>
          <w:sz w:val="24"/>
          <w:szCs w:val="24"/>
        </w:rPr>
      </w:pPr>
      <w:r>
        <w:rPr>
          <w:color w:val="212121"/>
          <w:sz w:val="24"/>
          <w:szCs w:val="24"/>
        </w:rPr>
        <w:t>5.3. Поставщик обязан предоставить доступное для людей с инвалидностью помещение под размещение пункта (пунктов) приема получателей в соответствии со статьей 15 Федерального закона от 24.11.1995 № 181 «О социальной защите инвалидов в Российской Федерации.</w:t>
      </w:r>
    </w:p>
    <w:p>
      <w:pPr>
        <w:shd w:val="clear" w:color="auto" w:fill="FFFFFF"/>
        <w:jc w:val="both"/>
        <w:rPr>
          <w:color w:val="212121"/>
          <w:sz w:val="24"/>
          <w:szCs w:val="24"/>
        </w:rPr>
      </w:pPr>
      <w:r>
        <w:rPr>
          <w:color w:val="212121"/>
          <w:sz w:val="24"/>
          <w:szCs w:val="24"/>
        </w:rPr>
        <w:t>Вход в каждый пункт (пункты)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пункта (пунктов) приема, в том числе с помощью его работников, а также сменного кресла-коляски.</w:t>
      </w:r>
    </w:p>
    <w:p>
      <w:pPr>
        <w:shd w:val="clear" w:color="auto" w:fill="FFFFFF"/>
        <w:jc w:val="both"/>
        <w:rPr>
          <w:b/>
          <w:color w:val="212121"/>
          <w:sz w:val="24"/>
          <w:szCs w:val="24"/>
        </w:rPr>
      </w:pPr>
      <w:r>
        <w:rPr>
          <w:b/>
          <w:color w:val="212121"/>
          <w:sz w:val="24"/>
          <w:szCs w:val="24"/>
        </w:rPr>
        <w:t>Входная группа</w:t>
      </w:r>
    </w:p>
    <w:p>
      <w:pPr>
        <w:shd w:val="clear" w:color="auto" w:fill="FFFFFF"/>
        <w:jc w:val="both"/>
        <w:rPr>
          <w:color w:val="212121"/>
          <w:sz w:val="24"/>
          <w:szCs w:val="24"/>
        </w:rPr>
      </w:pPr>
      <w:r>
        <w:rPr>
          <w:color w:val="212121"/>
          <w:sz w:val="24"/>
          <w:szCs w:val="24"/>
        </w:rPr>
        <w:t>При перепадах высот Поставщик должен учитывать наличие следующих элементов:</w:t>
      </w:r>
    </w:p>
    <w:p>
      <w:pPr>
        <w:shd w:val="clear" w:color="auto" w:fill="FFFFFF"/>
        <w:jc w:val="both"/>
        <w:rPr>
          <w:color w:val="212121"/>
          <w:sz w:val="24"/>
          <w:szCs w:val="24"/>
        </w:rPr>
      </w:pPr>
      <w:r>
        <w:rPr>
          <w:color w:val="212121"/>
          <w:sz w:val="24"/>
          <w:szCs w:val="24"/>
        </w:rPr>
        <w:t>- Пандус с поручнями;</w:t>
      </w:r>
    </w:p>
    <w:p>
      <w:pPr>
        <w:shd w:val="clear" w:color="auto" w:fill="FFFFFF"/>
        <w:jc w:val="both"/>
        <w:rPr>
          <w:color w:val="212121"/>
          <w:sz w:val="24"/>
          <w:szCs w:val="24"/>
        </w:rPr>
      </w:pPr>
      <w:r>
        <w:rPr>
          <w:color w:val="212121"/>
          <w:sz w:val="24"/>
          <w:szCs w:val="24"/>
        </w:rPr>
        <w:t>(в соответствии с п. 5.1.14 – п. 5.1.16; п. 6.1.2 – п. 6.1.4; п. 6.2.9 – п. 6.2.11 СП 59.13330.2020);</w:t>
      </w:r>
    </w:p>
    <w:p>
      <w:pPr>
        <w:shd w:val="clear" w:color="auto" w:fill="FFFFFF"/>
        <w:jc w:val="both"/>
        <w:rPr>
          <w:color w:val="212121"/>
          <w:sz w:val="24"/>
          <w:szCs w:val="24"/>
        </w:rPr>
      </w:pPr>
      <w:r>
        <w:rPr>
          <w:color w:val="212121"/>
          <w:sz w:val="24"/>
          <w:szCs w:val="24"/>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pPr>
        <w:shd w:val="clear" w:color="auto" w:fill="FFFFFF"/>
        <w:jc w:val="both"/>
        <w:rPr>
          <w:color w:val="212121"/>
          <w:sz w:val="24"/>
          <w:szCs w:val="24"/>
        </w:rPr>
      </w:pPr>
      <w:r>
        <w:rPr>
          <w:color w:val="212121"/>
          <w:sz w:val="24"/>
          <w:szCs w:val="24"/>
        </w:rPr>
        <w:t>- Лестница с поручнями;</w:t>
      </w:r>
    </w:p>
    <w:p>
      <w:pPr>
        <w:shd w:val="clear" w:color="auto" w:fill="FFFFFF"/>
        <w:jc w:val="both"/>
        <w:rPr>
          <w:color w:val="212121"/>
          <w:sz w:val="24"/>
          <w:szCs w:val="24"/>
        </w:rPr>
      </w:pPr>
      <w:r>
        <w:rPr>
          <w:color w:val="212121"/>
          <w:sz w:val="24"/>
          <w:szCs w:val="24"/>
        </w:rPr>
        <w:t>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w:t>
      </w:r>
    </w:p>
    <w:p>
      <w:pPr>
        <w:shd w:val="clear" w:color="auto" w:fill="FFFFFF"/>
        <w:jc w:val="both"/>
        <w:rPr>
          <w:color w:val="212121"/>
          <w:sz w:val="24"/>
          <w:szCs w:val="24"/>
        </w:rPr>
      </w:pPr>
      <w:r>
        <w:rPr>
          <w:color w:val="212121"/>
          <w:sz w:val="24"/>
          <w:szCs w:val="24"/>
        </w:rPr>
        <w:t>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pPr>
        <w:shd w:val="clear" w:color="auto" w:fill="FFFFFF"/>
        <w:jc w:val="both"/>
        <w:rPr>
          <w:color w:val="212121"/>
          <w:sz w:val="24"/>
          <w:szCs w:val="24"/>
        </w:rPr>
      </w:pPr>
      <w:r>
        <w:rPr>
          <w:color w:val="212121"/>
          <w:sz w:val="24"/>
          <w:szCs w:val="24"/>
        </w:rPr>
        <w:t>Применение для инвалидов вместо пандусов аппарелей не допускается на объекте (в соответствии с п. 6.1.2 СП 59.13330.2020).</w:t>
      </w:r>
    </w:p>
    <w:p>
      <w:pPr>
        <w:shd w:val="clear" w:color="auto" w:fill="FFFFFF"/>
        <w:jc w:val="both"/>
        <w:rPr>
          <w:color w:val="212121"/>
          <w:sz w:val="24"/>
          <w:szCs w:val="24"/>
        </w:rPr>
      </w:pPr>
      <w:r>
        <w:rPr>
          <w:color w:val="212121"/>
          <w:sz w:val="24"/>
          <w:szCs w:val="24"/>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п.6.2.4 СП 59.13330.2020)</w:t>
      </w:r>
    </w:p>
    <w:p>
      <w:pPr>
        <w:shd w:val="clear" w:color="auto" w:fill="FFFFFF"/>
        <w:jc w:val="both"/>
        <w:rPr>
          <w:color w:val="212121"/>
          <w:sz w:val="24"/>
          <w:szCs w:val="24"/>
        </w:rPr>
      </w:pPr>
      <w:r>
        <w:rPr>
          <w:color w:val="212121"/>
          <w:sz w:val="24"/>
          <w:szCs w:val="24"/>
        </w:rPr>
        <w:t>- Тактильно-контрастные указатели;</w:t>
      </w:r>
    </w:p>
    <w:p>
      <w:pPr>
        <w:shd w:val="clear" w:color="auto" w:fill="FFFFFF"/>
        <w:jc w:val="both"/>
        <w:rPr>
          <w:color w:val="212121"/>
          <w:sz w:val="24"/>
          <w:szCs w:val="24"/>
        </w:rPr>
      </w:pPr>
      <w:r>
        <w:rPr>
          <w:color w:val="212121"/>
          <w:sz w:val="24"/>
          <w:szCs w:val="24"/>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pPr>
        <w:suppressAutoHyphens/>
        <w:jc w:val="both"/>
        <w:rPr>
          <w:b/>
          <w:sz w:val="24"/>
          <w:szCs w:val="24"/>
        </w:rPr>
      </w:pPr>
      <w:r>
        <w:rPr>
          <w:b/>
          <w:color w:val="212121"/>
          <w:sz w:val="24"/>
          <w:szCs w:val="24"/>
        </w:rPr>
        <w:t xml:space="preserve">Пути движения внутри пункта (пунктов) </w:t>
      </w:r>
      <w:r>
        <w:rPr>
          <w:b/>
          <w:sz w:val="24"/>
          <w:szCs w:val="24"/>
        </w:rPr>
        <w:t>приема Получателей</w:t>
      </w:r>
    </w:p>
    <w:p>
      <w:pPr>
        <w:suppressAutoHyphens/>
        <w:spacing w:line="259" w:lineRule="auto"/>
        <w:jc w:val="both"/>
        <w:rPr>
          <w:rFonts w:eastAsia="Calibri"/>
          <w:b/>
          <w:sz w:val="24"/>
          <w:szCs w:val="24"/>
          <w:lang w:eastAsia="en-US"/>
        </w:rPr>
      </w:pPr>
      <w:r>
        <w:rPr>
          <w:color w:val="212121"/>
          <w:sz w:val="24"/>
          <w:szCs w:val="24"/>
        </w:rPr>
        <w:t>При перепадах высот Поставщик должен учитывать наличие следующих элементов:</w:t>
      </w:r>
    </w:p>
    <w:p>
      <w:pPr>
        <w:shd w:val="clear" w:color="auto" w:fill="FFFFFF"/>
        <w:jc w:val="both"/>
        <w:rPr>
          <w:color w:val="212121"/>
          <w:sz w:val="24"/>
          <w:szCs w:val="24"/>
        </w:rPr>
      </w:pPr>
      <w:r>
        <w:rPr>
          <w:color w:val="212121"/>
          <w:sz w:val="24"/>
          <w:szCs w:val="24"/>
        </w:rPr>
        <w:t>- Лифт, подъемная платформа, эскалатор</w:t>
      </w:r>
    </w:p>
    <w:p>
      <w:pPr>
        <w:shd w:val="clear" w:color="auto" w:fill="FFFFFF"/>
        <w:jc w:val="both"/>
        <w:rPr>
          <w:color w:val="212121"/>
          <w:sz w:val="24"/>
          <w:szCs w:val="24"/>
        </w:rPr>
      </w:pPr>
      <w:r>
        <w:rPr>
          <w:color w:val="212121"/>
          <w:sz w:val="24"/>
          <w:szCs w:val="24"/>
        </w:rPr>
        <w:t>(в соответствии с п. 6.2.13 – п. 6.2.18 СП 59.13330.2020).</w:t>
      </w:r>
    </w:p>
    <w:p>
      <w:pPr>
        <w:shd w:val="clear" w:color="auto" w:fill="FFFFFF"/>
        <w:jc w:val="both"/>
        <w:rPr>
          <w:color w:val="212121"/>
          <w:sz w:val="24"/>
          <w:szCs w:val="24"/>
        </w:rPr>
      </w:pPr>
      <w:r>
        <w:rPr>
          <w:color w:val="212121"/>
          <w:sz w:val="24"/>
          <w:szCs w:val="24"/>
        </w:rPr>
        <w:t>Лифт должен иметь габариты не менее 1100х1400 мм (ширина х глубина).</w:t>
      </w:r>
    </w:p>
    <w:p>
      <w:pPr>
        <w:shd w:val="clear" w:color="auto" w:fill="FFFFFF"/>
        <w:jc w:val="both"/>
        <w:rPr>
          <w:color w:val="212121"/>
          <w:sz w:val="24"/>
          <w:szCs w:val="24"/>
        </w:rPr>
      </w:pPr>
      <w:r>
        <w:rPr>
          <w:color w:val="212121"/>
          <w:sz w:val="24"/>
          <w:szCs w:val="24"/>
        </w:rPr>
        <w:lastRenderedPageBreak/>
        <w:t>- Лестницы необходимо обеспечить противоскользящими контрастными полосами общей шириной 0,08-0.1м. (в соответствии с п. 6.2.8 СП 59.13330.2020).</w:t>
      </w:r>
    </w:p>
    <w:p>
      <w:pPr>
        <w:shd w:val="clear" w:color="auto" w:fill="FFFFFF"/>
        <w:jc w:val="both"/>
        <w:rPr>
          <w:color w:val="212121"/>
          <w:sz w:val="24"/>
          <w:szCs w:val="24"/>
        </w:rPr>
      </w:pPr>
      <w:r>
        <w:rPr>
          <w:color w:val="212121"/>
          <w:sz w:val="24"/>
          <w:szCs w:val="24"/>
        </w:rPr>
        <w:t>-   Необходимо обеспечить зону досягаемости для посетителей в кресле-коляске в пределах, установленных в соответствии с п. 8.1.7 СП 59.13330.2020.</w:t>
      </w:r>
    </w:p>
    <w:p>
      <w:pPr>
        <w:shd w:val="clear" w:color="auto" w:fill="FFFFFF"/>
        <w:jc w:val="both"/>
        <w:rPr>
          <w:color w:val="212121"/>
          <w:sz w:val="24"/>
          <w:szCs w:val="24"/>
        </w:rPr>
      </w:pPr>
      <w:r>
        <w:rPr>
          <w:color w:val="212121"/>
          <w:sz w:val="24"/>
          <w:szCs w:val="24"/>
        </w:rP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pPr>
        <w:shd w:val="clear" w:color="auto" w:fill="FFFFFF"/>
        <w:jc w:val="both"/>
        <w:rPr>
          <w:color w:val="212121"/>
          <w:sz w:val="24"/>
          <w:szCs w:val="24"/>
        </w:rPr>
      </w:pPr>
      <w:r>
        <w:rPr>
          <w:color w:val="212121"/>
          <w:sz w:val="24"/>
          <w:szCs w:val="24"/>
        </w:rP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pPr>
        <w:shd w:val="clear" w:color="auto" w:fill="FFFFFF"/>
        <w:jc w:val="both"/>
        <w:rPr>
          <w:color w:val="212121"/>
          <w:sz w:val="24"/>
          <w:szCs w:val="24"/>
        </w:rPr>
      </w:pPr>
      <w:r>
        <w:rPr>
          <w:color w:val="212121"/>
          <w:sz w:val="24"/>
          <w:szCs w:val="24"/>
        </w:rPr>
        <w:t xml:space="preserve">- </w:t>
      </w:r>
      <w:proofErr w:type="gramStart"/>
      <w:r>
        <w:rPr>
          <w:color w:val="212121"/>
          <w:sz w:val="24"/>
          <w:szCs w:val="24"/>
        </w:rPr>
        <w:t>В</w:t>
      </w:r>
      <w:proofErr w:type="gramEnd"/>
      <w:r>
        <w:rPr>
          <w:color w:val="212121"/>
          <w:sz w:val="24"/>
          <w:szCs w:val="24"/>
        </w:rPr>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pPr>
        <w:shd w:val="clear" w:color="auto" w:fill="FFFFFF"/>
        <w:jc w:val="both"/>
        <w:rPr>
          <w:b/>
          <w:color w:val="212121"/>
          <w:sz w:val="24"/>
          <w:szCs w:val="24"/>
        </w:rPr>
      </w:pPr>
      <w:r>
        <w:rPr>
          <w:b/>
          <w:color w:val="212121"/>
          <w:sz w:val="24"/>
          <w:szCs w:val="24"/>
        </w:rPr>
        <w:t>Пути эвакуации</w:t>
      </w:r>
    </w:p>
    <w:p>
      <w:pPr>
        <w:shd w:val="clear" w:color="auto" w:fill="FFFFFF"/>
        <w:jc w:val="both"/>
        <w:rPr>
          <w:color w:val="212121"/>
          <w:sz w:val="24"/>
          <w:szCs w:val="24"/>
        </w:rPr>
      </w:pPr>
      <w:r>
        <w:rPr>
          <w:color w:val="212121"/>
          <w:sz w:val="24"/>
          <w:szCs w:val="24"/>
        </w:rPr>
        <w:t>В случае невозможности соблюдения положений ч.15 ст.89 Федерального закона от 22.07.2008 N 123-ФЗ «Технический регламент о требованиях пожарной безопасности»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pPr>
        <w:shd w:val="clear" w:color="auto" w:fill="FFFFFF"/>
        <w:jc w:val="both"/>
        <w:rPr>
          <w:color w:val="212121"/>
          <w:sz w:val="24"/>
          <w:szCs w:val="24"/>
        </w:rPr>
      </w:pPr>
      <w:r>
        <w:rPr>
          <w:color w:val="212121"/>
          <w:sz w:val="24"/>
          <w:szCs w:val="24"/>
        </w:rPr>
        <w:t>Пути эвакуации помещений пункта (пунктов) приема должны обеспечивать безопасность посетителей в соответствии с п.6.2.19-п.6.2.32 СП 59.13330.2020.</w:t>
      </w:r>
    </w:p>
    <w:p>
      <w:pPr>
        <w:shd w:val="clear" w:color="auto" w:fill="FFFFFF"/>
        <w:jc w:val="both"/>
        <w:rPr>
          <w:color w:val="212121"/>
          <w:sz w:val="24"/>
          <w:szCs w:val="24"/>
        </w:rPr>
      </w:pPr>
      <w:r>
        <w:rPr>
          <w:color w:val="212121"/>
          <w:sz w:val="24"/>
          <w:szCs w:val="24"/>
        </w:rPr>
        <w:t>Обеспечить систему двухсторонней связи с диспетчером или дежурным (в соответствии с п. 6.5.8 СП 59.13330.2020).</w:t>
      </w:r>
    </w:p>
    <w:p>
      <w:pPr>
        <w:shd w:val="clear" w:color="auto" w:fill="FFFFFF"/>
        <w:jc w:val="both"/>
        <w:rPr>
          <w:color w:val="212121"/>
          <w:sz w:val="24"/>
          <w:szCs w:val="24"/>
        </w:rPr>
      </w:pPr>
      <w:r>
        <w:rPr>
          <w:color w:val="212121"/>
          <w:sz w:val="24"/>
          <w:szCs w:val="24"/>
        </w:rPr>
        <w:t>5.4. На территории пункта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 Поправкой, с Изменениями N 1, 2, 3), со свободным доступом Получателей. При чем не менее 1 (одной) оборудованной для посещения инвалидами в соответствии с п. 6.3.3, 6.3.6, 6.3.9 СП 59.13330.2020 «Доступность зданий и сооружений для маломобильных групп населения».</w:t>
      </w:r>
    </w:p>
    <w:p>
      <w:pPr>
        <w:shd w:val="clear" w:color="auto" w:fill="FFFFFF"/>
        <w:jc w:val="both"/>
        <w:rPr>
          <w:color w:val="212121"/>
          <w:sz w:val="24"/>
          <w:szCs w:val="24"/>
        </w:rPr>
      </w:pPr>
      <w:r>
        <w:rPr>
          <w:color w:val="212121"/>
          <w:sz w:val="24"/>
          <w:szCs w:val="24"/>
        </w:rPr>
        <w:t>5.5. Пункт(ы) приема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Поставщиком оборудуются дополнительные окна обслуживания.</w:t>
      </w:r>
    </w:p>
    <w:p>
      <w:pPr>
        <w:shd w:val="clear" w:color="auto" w:fill="FFFFFF"/>
        <w:jc w:val="both"/>
        <w:rPr>
          <w:color w:val="212121"/>
          <w:sz w:val="24"/>
          <w:szCs w:val="24"/>
        </w:rPr>
      </w:pPr>
      <w:r>
        <w:rPr>
          <w:color w:val="212121"/>
          <w:sz w:val="24"/>
          <w:szCs w:val="24"/>
        </w:rPr>
        <w:t>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w:t>
      </w:r>
    </w:p>
    <w:p>
      <w:pPr>
        <w:shd w:val="clear" w:color="auto" w:fill="FFFFFF"/>
        <w:jc w:val="both"/>
        <w:rPr>
          <w:color w:val="212121"/>
          <w:sz w:val="24"/>
          <w:szCs w:val="24"/>
        </w:rPr>
      </w:pPr>
      <w:r>
        <w:rPr>
          <w:color w:val="212121"/>
          <w:sz w:val="24"/>
          <w:szCs w:val="24"/>
        </w:rPr>
        <w:t>5.7. Товар должен находиться на складе пункта (пунктов) приема,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pPr>
        <w:shd w:val="clear" w:color="auto" w:fill="FFFFFF"/>
        <w:jc w:val="both"/>
        <w:rPr>
          <w:color w:val="212121"/>
          <w:sz w:val="24"/>
          <w:szCs w:val="24"/>
        </w:rPr>
      </w:pPr>
      <w:r>
        <w:rPr>
          <w:color w:val="212121"/>
          <w:sz w:val="24"/>
          <w:szCs w:val="24"/>
        </w:rPr>
        <w:t>5.8. Пункт (пункты) приема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pPr>
        <w:shd w:val="clear" w:color="auto" w:fill="FFFFFF"/>
        <w:jc w:val="both"/>
        <w:rPr>
          <w:color w:val="212121"/>
          <w:sz w:val="24"/>
          <w:szCs w:val="24"/>
        </w:rPr>
      </w:pPr>
      <w:r>
        <w:rPr>
          <w:color w:val="212121"/>
          <w:sz w:val="24"/>
          <w:szCs w:val="24"/>
        </w:rPr>
        <w:t>- возможность беспрепятственного входа в объекты и выхода из них;</w:t>
      </w:r>
    </w:p>
    <w:p>
      <w:pPr>
        <w:shd w:val="clear" w:color="auto" w:fill="FFFFFF"/>
        <w:jc w:val="both"/>
        <w:rPr>
          <w:color w:val="212121"/>
          <w:sz w:val="24"/>
          <w:szCs w:val="24"/>
        </w:rPr>
      </w:pPr>
      <w:r>
        <w:rPr>
          <w:color w:val="212121"/>
          <w:sz w:val="24"/>
          <w:szCs w:val="24"/>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w:t>
      </w:r>
      <w:r>
        <w:rPr>
          <w:color w:val="212121"/>
          <w:sz w:val="24"/>
          <w:szCs w:val="24"/>
        </w:rPr>
        <w:lastRenderedPageBreak/>
        <w:t>предоставляющих услуги, ассистивных и вспомогательных технологий, а также сменного кресла-коляски;</w:t>
      </w:r>
    </w:p>
    <w:p>
      <w:pPr>
        <w:shd w:val="clear" w:color="auto" w:fill="FFFFFF"/>
        <w:jc w:val="both"/>
        <w:rPr>
          <w:color w:val="212121"/>
          <w:sz w:val="24"/>
          <w:szCs w:val="24"/>
        </w:rPr>
      </w:pPr>
      <w:r>
        <w:rPr>
          <w:color w:val="212121"/>
          <w:sz w:val="24"/>
          <w:szCs w:val="24"/>
        </w:rPr>
        <w:t>- сопровождение получателей, имеющих стойкие нарушения функции зрения и самостоятельного передвижения по территории объекта;</w:t>
      </w:r>
    </w:p>
    <w:p>
      <w:pPr>
        <w:shd w:val="clear" w:color="auto" w:fill="FFFFFF"/>
        <w:jc w:val="both"/>
        <w:rPr>
          <w:color w:val="212121"/>
          <w:sz w:val="24"/>
          <w:szCs w:val="24"/>
        </w:rPr>
      </w:pPr>
      <w:r>
        <w:rPr>
          <w:color w:val="212121"/>
          <w:sz w:val="24"/>
          <w:szCs w:val="24"/>
        </w:rPr>
        <w:t>- содействие получателю при входе в объект и выходе из него, информирование инвалида о доступных маршрутах общественного транспорта;</w:t>
      </w:r>
    </w:p>
    <w:p>
      <w:pPr>
        <w:shd w:val="clear" w:color="auto" w:fill="FFFFFF"/>
        <w:jc w:val="both"/>
        <w:rPr>
          <w:color w:val="212121"/>
          <w:sz w:val="24"/>
          <w:szCs w:val="24"/>
        </w:rPr>
      </w:pPr>
      <w:r>
        <w:rPr>
          <w:color w:val="212121"/>
          <w:sz w:val="24"/>
          <w:szCs w:val="24"/>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shd w:val="clear" w:color="auto" w:fill="FFFFFF"/>
        <w:jc w:val="both"/>
        <w:rPr>
          <w:color w:val="212121"/>
          <w:sz w:val="24"/>
          <w:szCs w:val="24"/>
        </w:rPr>
      </w:pPr>
      <w:r>
        <w:rPr>
          <w:color w:val="212121"/>
          <w:sz w:val="24"/>
          <w:szCs w:val="24"/>
        </w:rPr>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pPr>
        <w:suppressAutoHyphens/>
        <w:jc w:val="both"/>
        <w:rPr>
          <w:sz w:val="24"/>
          <w:szCs w:val="24"/>
        </w:rPr>
      </w:pPr>
      <w:r>
        <w:rPr>
          <w:color w:val="000000"/>
          <w:sz w:val="24"/>
          <w:szCs w:val="24"/>
        </w:rPr>
        <w:t>5.9 Пункты должны обеспечивать прием Получателей не менее 6 (шести) дней в неделю, не менее 40 часов в неделю, при этом, время работы пункта (пунктов) должно попадать в интервал с 08:00 до 22:00.</w:t>
      </w:r>
    </w:p>
    <w:p>
      <w:pPr>
        <w:suppressAutoHyphens/>
        <w:spacing w:line="259" w:lineRule="auto"/>
        <w:jc w:val="both"/>
        <w:rPr>
          <w:rFonts w:eastAsia="Calibri"/>
          <w:sz w:val="24"/>
          <w:szCs w:val="24"/>
          <w:lang w:eastAsia="en-US"/>
        </w:rPr>
      </w:pPr>
      <w:r>
        <w:rPr>
          <w:color w:val="212121"/>
          <w:sz w:val="24"/>
          <w:szCs w:val="24"/>
        </w:rPr>
        <w:t>5.10. Заказчик вправе предоставить Поставщику без взимания платы помещение для организации пункта приема Товара Получателям. Поставщик обязан организовать выдачу Товара в предложенном пункте приема. </w:t>
      </w:r>
    </w:p>
    <w:p>
      <w:pPr>
        <w:widowControl w:val="0"/>
        <w:jc w:val="both"/>
        <w:rPr>
          <w:sz w:val="24"/>
          <w:szCs w:val="24"/>
        </w:rPr>
      </w:pPr>
      <w:r>
        <w:rPr>
          <w:sz w:val="24"/>
          <w:szCs w:val="24"/>
        </w:rPr>
        <w:t>6. В случае выбора Получателем способа получения Товара по месту нахождения пункта (пунктов) приема, организованных Поставщиком, передача Товара Получателю осуществляется в день обращения Получателя в пункт(-ы) приема с направлением. На отрывном талоне направления Поставщик в обязательном порядке проставляет дату обращения Получателя.</w:t>
      </w:r>
    </w:p>
    <w:p>
      <w:pPr>
        <w:widowControl w:val="0"/>
        <w:jc w:val="both"/>
        <w:rPr>
          <w:sz w:val="24"/>
          <w:szCs w:val="24"/>
        </w:rPr>
      </w:pPr>
      <w:r>
        <w:rPr>
          <w:sz w:val="24"/>
          <w:szCs w:val="24"/>
        </w:rPr>
        <w:t xml:space="preserve">6.1. Передача Товара Получателям должна производиться в каждом из пунктов приема не менее 6 (шести) дней в неделю, не менее 40 (сорока) часов в неделю, при этом, время работы должно быть в интервале с 08:00 до 22:00. </w:t>
      </w:r>
    </w:p>
    <w:p>
      <w:pPr>
        <w:widowControl w:val="0"/>
        <w:jc w:val="both"/>
        <w:rPr>
          <w:sz w:val="24"/>
          <w:szCs w:val="24"/>
        </w:rPr>
      </w:pPr>
      <w:r>
        <w:rPr>
          <w:sz w:val="24"/>
          <w:szCs w:val="24"/>
        </w:rPr>
        <w:t>6.2.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в неделю, по предварительной записи по телефону, предоставленному Заказчику не позднее 1 (одного) рабочего дня с даты заключения контракта. Доставка осуществляется за счет средств Поставщика.</w:t>
      </w:r>
    </w:p>
    <w:p>
      <w:pPr>
        <w:widowControl w:val="0"/>
        <w:jc w:val="both"/>
        <w:rPr>
          <w:sz w:val="24"/>
          <w:szCs w:val="24"/>
        </w:rPr>
      </w:pPr>
      <w:r>
        <w:rPr>
          <w:sz w:val="24"/>
          <w:szCs w:val="24"/>
        </w:rPr>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pPr>
        <w:widowControl w:val="0"/>
        <w:jc w:val="both"/>
        <w:rPr>
          <w:sz w:val="24"/>
          <w:szCs w:val="24"/>
        </w:rPr>
      </w:pPr>
      <w:r>
        <w:rPr>
          <w:sz w:val="24"/>
          <w:szCs w:val="24"/>
        </w:rPr>
        <w:t>6.3.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pPr>
        <w:widowControl w:val="0"/>
        <w:jc w:val="both"/>
        <w:rPr>
          <w:sz w:val="24"/>
          <w:szCs w:val="24"/>
        </w:rPr>
      </w:pPr>
      <w:r>
        <w:rPr>
          <w:sz w:val="24"/>
          <w:szCs w:val="24"/>
        </w:rPr>
        <w:t>6.4. С целью подтверждения соответствия Товара по количеству, комплектности, ассортименту и качеству требованиям, Заказчик по своему усмотрению производит сплошную и/или выборочную проверку Товара и соответствия пункта (пунктов) приема требованиям, установленным технического задания. При проведении проверки Заказчик вправе осуществлять фотофиксацию и/или видеозапись.</w:t>
      </w:r>
    </w:p>
    <w:p>
      <w:pPr>
        <w:widowControl w:val="0"/>
        <w:jc w:val="both"/>
        <w:rPr>
          <w:sz w:val="24"/>
          <w:szCs w:val="24"/>
        </w:rPr>
      </w:pPr>
      <w:r>
        <w:rPr>
          <w:sz w:val="24"/>
          <w:szCs w:val="24"/>
        </w:rPr>
        <w:t>6.5. 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osp@ro78.fss.ru, tsrfil31@ro78.fss.ru.</w:t>
      </w:r>
    </w:p>
    <w:p>
      <w:pPr>
        <w:widowControl w:val="0"/>
        <w:jc w:val="both"/>
        <w:rPr>
          <w:sz w:val="24"/>
          <w:szCs w:val="24"/>
        </w:rPr>
      </w:pPr>
      <w:r>
        <w:rPr>
          <w:sz w:val="24"/>
          <w:szCs w:val="24"/>
        </w:rPr>
        <w:t xml:space="preserve">7. При проведении экспертизы Товара на соответствие их условиям технического задания, Поставщик должен предоставить необходимое для проведении экспертизы количество </w:t>
      </w:r>
      <w:r>
        <w:rPr>
          <w:sz w:val="24"/>
          <w:szCs w:val="24"/>
        </w:rPr>
        <w:lastRenderedPageBreak/>
        <w:t>Товара. При этом предоставленное для экспертизы количество Товара не входит в общий объем Товара, предусмотренный техническим заданием.</w:t>
      </w:r>
    </w:p>
    <w:p>
      <w:pPr>
        <w:tabs>
          <w:tab w:val="center" w:pos="4677"/>
        </w:tabs>
        <w:jc w:val="both"/>
        <w:rPr>
          <w:sz w:val="24"/>
          <w:szCs w:val="24"/>
        </w:rPr>
      </w:pPr>
    </w:p>
    <w:p>
      <w:pPr>
        <w:pStyle w:val="Web"/>
        <w:snapToGrid w:val="0"/>
        <w:spacing w:before="0" w:after="0"/>
        <w:ind w:right="-853"/>
        <w:rPr>
          <w:rFonts w:ascii="Times New Roman" w:hAnsi="Times New Roman" w:cs="Times New Roman"/>
          <w:b/>
        </w:rPr>
      </w:pPr>
    </w:p>
    <w:p>
      <w:pPr>
        <w:pStyle w:val="Web"/>
        <w:snapToGrid w:val="0"/>
        <w:spacing w:before="0" w:after="0"/>
        <w:ind w:right="-1"/>
        <w:jc w:val="center"/>
      </w:pPr>
    </w:p>
    <w:sectPr>
      <w:pgSz w:w="11906" w:h="16838"/>
      <w:pgMar w:top="993" w:right="991" w:bottom="851" w:left="1418"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5C03"/>
    <w:multiLevelType w:val="hybridMultilevel"/>
    <w:tmpl w:val="DC5C3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306DBB"/>
    <w:multiLevelType w:val="hybridMultilevel"/>
    <w:tmpl w:val="55504B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5305E-602D-4DE8-8ECC-70A9D9AC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uiPriority w:val="99"/>
    <w:pPr>
      <w:suppressAutoHyphens/>
      <w:spacing w:before="280" w:after="280"/>
    </w:pPr>
    <w:rPr>
      <w:rFonts w:ascii="Arial Unicode MS" w:eastAsia="Arial Unicode MS" w:hAnsi="Arial Unicode MS" w:cs="Arial Unicode MS"/>
      <w:sz w:val="24"/>
      <w:szCs w:val="24"/>
      <w:lang w:eastAsia="ar-SA"/>
    </w:rPr>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AE7D-58C0-4CF9-BEB8-78A797DA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4046</Words>
  <Characters>23067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Егорченкова Екатерина Олеговна</dc:creator>
  <cp:keywords/>
  <dc:description/>
  <cp:lastModifiedBy>Егорченкова Екатерина Олеговна</cp:lastModifiedBy>
  <cp:revision>9</cp:revision>
  <dcterms:created xsi:type="dcterms:W3CDTF">2024-02-19T14:04:00Z</dcterms:created>
  <dcterms:modified xsi:type="dcterms:W3CDTF">2024-02-22T09:35:00Z</dcterms:modified>
</cp:coreProperties>
</file>