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36" w:rsidRPr="00096B42" w:rsidRDefault="00D32D6E" w:rsidP="00112062">
      <w:pPr>
        <w:keepNext/>
        <w:ind w:left="-284" w:right="283" w:firstLine="710"/>
        <w:jc w:val="center"/>
        <w:rPr>
          <w:b/>
        </w:rPr>
      </w:pPr>
      <w:r>
        <w:rPr>
          <w:b/>
        </w:rPr>
        <w:t>Описание объекта закупки</w:t>
      </w:r>
    </w:p>
    <w:p w:rsidR="005B5A8B" w:rsidRPr="00096B42" w:rsidRDefault="005B5A8B" w:rsidP="00A169DE">
      <w:pPr>
        <w:keepNext/>
        <w:ind w:left="-284" w:right="283" w:firstLine="710"/>
        <w:jc w:val="center"/>
        <w:rPr>
          <w:b/>
        </w:rPr>
      </w:pPr>
      <w:r w:rsidRPr="00096B42">
        <w:rPr>
          <w:b/>
        </w:rPr>
        <w:t xml:space="preserve">на </w:t>
      </w:r>
      <w:r w:rsidR="003C7C8C" w:rsidRPr="003C7C8C">
        <w:rPr>
          <w:b/>
        </w:rPr>
        <w:t>поставк</w:t>
      </w:r>
      <w:r w:rsidR="003C7C8C">
        <w:rPr>
          <w:b/>
        </w:rPr>
        <w:t>у</w:t>
      </w:r>
      <w:r w:rsidR="003C7C8C" w:rsidRPr="003C7C8C">
        <w:rPr>
          <w:b/>
        </w:rPr>
        <w:t xml:space="preserve"> сигнализаторов звука цифровых для обеспечения инвалидов</w:t>
      </w:r>
    </w:p>
    <w:p w:rsidR="00A169DE" w:rsidRPr="00096B42" w:rsidRDefault="00A169DE" w:rsidP="00A169DE">
      <w:pPr>
        <w:keepNext/>
        <w:ind w:left="-284" w:right="283" w:firstLine="710"/>
        <w:jc w:val="center"/>
        <w:rPr>
          <w:b/>
        </w:rPr>
      </w:pPr>
    </w:p>
    <w:p w:rsidR="00FA627F" w:rsidRPr="00096B42" w:rsidRDefault="00FA627F" w:rsidP="00FA627F">
      <w:pPr>
        <w:widowControl w:val="0"/>
        <w:shd w:val="clear" w:color="auto" w:fill="FFFFFF"/>
        <w:ind w:firstLine="567"/>
        <w:jc w:val="both"/>
      </w:pPr>
      <w:r w:rsidRPr="00096B42">
        <w:t xml:space="preserve">При составлении настоящего описания объекта закупки, использование других, не установленных в соответствии с законодательством РФ о техническом регулировании и о стандартизации, показателей, требований, условных обозначений и терминологии (далее так же - «не стандартные требования») свидетельствует о том, что такие не стандартные требования не регламентированы (то есть отсутствуют и (или) не являются достаточными) действующим законодательством РФ о техническом регулировании, в том числе документами, разрабатываемыми и применяемыми в национальной системе стандартизации, принятыми в соответствии с законодательством РФ. </w:t>
      </w:r>
    </w:p>
    <w:p w:rsidR="00FA627F" w:rsidRPr="00096B42" w:rsidRDefault="00FA627F" w:rsidP="00FA627F">
      <w:pPr>
        <w:widowControl w:val="0"/>
        <w:shd w:val="clear" w:color="auto" w:fill="FFFFFF"/>
        <w:ind w:firstLine="567"/>
        <w:jc w:val="both"/>
      </w:pPr>
      <w:r w:rsidRPr="00096B42">
        <w:t>Использование нестандартных требований к характеристикам товара, требуемого к поставке, обусловлено потребностями заказчика и необходимостью определения соответствия предлагаемого к поставке товара данным потребностям.</w:t>
      </w:r>
    </w:p>
    <w:p w:rsidR="00FA627F" w:rsidRPr="00096B42" w:rsidRDefault="00FA627F" w:rsidP="00FA627F">
      <w:pPr>
        <w:widowControl w:val="0"/>
        <w:shd w:val="clear" w:color="auto" w:fill="FFFFFF"/>
        <w:ind w:firstLine="567"/>
        <w:jc w:val="both"/>
      </w:pPr>
    </w:p>
    <w:p w:rsidR="00FA627F" w:rsidRDefault="00FA627F" w:rsidP="00F50887">
      <w:pPr>
        <w:widowControl w:val="0"/>
        <w:shd w:val="clear" w:color="auto" w:fill="FFFFFF"/>
        <w:ind w:firstLine="567"/>
        <w:jc w:val="center"/>
        <w:rPr>
          <w:rFonts w:eastAsia="SimSun"/>
          <w:b/>
          <w:kern w:val="3"/>
          <w:lang w:eastAsia="zh-CN" w:bidi="hi-IN"/>
        </w:rPr>
      </w:pPr>
      <w:r w:rsidRPr="00096B42">
        <w:rPr>
          <w:rFonts w:eastAsia="SimSun"/>
          <w:b/>
          <w:kern w:val="3"/>
          <w:lang w:eastAsia="zh-CN" w:bidi="hi-IN"/>
        </w:rPr>
        <w:t>Описание функциональных и технических характеристик:</w:t>
      </w:r>
    </w:p>
    <w:p w:rsidR="006E3928" w:rsidRPr="00D32D6E" w:rsidRDefault="006E3928" w:rsidP="006E3928">
      <w:pPr>
        <w:widowControl w:val="0"/>
        <w:shd w:val="clear" w:color="auto" w:fill="FFFFFF"/>
        <w:autoSpaceDE w:val="0"/>
        <w:autoSpaceDN w:val="0"/>
        <w:adjustRightInd w:val="0"/>
        <w:ind w:right="-1" w:firstLine="567"/>
        <w:jc w:val="both"/>
        <w:rPr>
          <w:rStyle w:val="markedcontent"/>
        </w:rPr>
      </w:pPr>
    </w:p>
    <w:p w:rsidR="00313465" w:rsidRDefault="00313465" w:rsidP="00313465">
      <w:pPr>
        <w:widowControl w:val="0"/>
        <w:snapToGrid w:val="0"/>
        <w:ind w:firstLine="567"/>
        <w:jc w:val="both"/>
        <w:rPr>
          <w:lang w:eastAsia="ru-RU"/>
        </w:rPr>
      </w:pPr>
      <w:r>
        <w:rPr>
          <w:b/>
        </w:rPr>
        <w:t>Описание объекта закупки:</w:t>
      </w:r>
      <w:r>
        <w:t xml:space="preserve"> </w:t>
      </w:r>
      <w:r w:rsidR="006D7BF0">
        <w:t>с</w:t>
      </w:r>
      <w:r>
        <w:t xml:space="preserve">игнализатор звука цифровой для </w:t>
      </w:r>
      <w:proofErr w:type="spellStart"/>
      <w:r>
        <w:t>плохослышащих</w:t>
      </w:r>
      <w:proofErr w:type="spellEnd"/>
      <w: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313465" w:rsidRDefault="00313465" w:rsidP="00313465">
      <w:pPr>
        <w:ind w:firstLine="567"/>
        <w:jc w:val="both"/>
      </w:pPr>
      <w:r>
        <w:t>К поставке должны быть предложены: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063"/>
        <w:gridCol w:w="1550"/>
      </w:tblGrid>
      <w:tr w:rsidR="00313465" w:rsidTr="00313465">
        <w:tc>
          <w:tcPr>
            <w:tcW w:w="566" w:type="dxa"/>
            <w:tcBorders>
              <w:top w:val="single" w:sz="4" w:space="0" w:color="auto"/>
              <w:left w:val="single" w:sz="4" w:space="0" w:color="auto"/>
              <w:bottom w:val="single" w:sz="4" w:space="0" w:color="auto"/>
              <w:right w:val="single" w:sz="4" w:space="0" w:color="auto"/>
            </w:tcBorders>
            <w:vAlign w:val="center"/>
            <w:hideMark/>
          </w:tcPr>
          <w:p w:rsidR="00313465" w:rsidRDefault="00313465">
            <w:pPr>
              <w:widowControl w:val="0"/>
              <w:spacing w:after="60" w:line="276" w:lineRule="auto"/>
              <w:jc w:val="center"/>
              <w:rPr>
                <w:rFonts w:eastAsia="Lucida Sans Unicode"/>
                <w:color w:val="000000"/>
                <w:lang w:eastAsia="en-US" w:bidi="en-US"/>
              </w:rPr>
            </w:pPr>
            <w:r>
              <w:rPr>
                <w:lang w:eastAsia="en-US"/>
              </w:rPr>
              <w:t>№ п/п</w:t>
            </w:r>
          </w:p>
        </w:tc>
        <w:tc>
          <w:tcPr>
            <w:tcW w:w="7063" w:type="dxa"/>
            <w:tcBorders>
              <w:top w:val="single" w:sz="4" w:space="0" w:color="auto"/>
              <w:left w:val="single" w:sz="4" w:space="0" w:color="auto"/>
              <w:bottom w:val="single" w:sz="4" w:space="0" w:color="auto"/>
              <w:right w:val="single" w:sz="4" w:space="0" w:color="auto"/>
            </w:tcBorders>
            <w:vAlign w:val="center"/>
            <w:hideMark/>
          </w:tcPr>
          <w:p w:rsidR="00313465" w:rsidRDefault="00313465">
            <w:pPr>
              <w:widowControl w:val="0"/>
              <w:spacing w:after="60" w:line="276" w:lineRule="auto"/>
              <w:jc w:val="center"/>
              <w:rPr>
                <w:rFonts w:eastAsia="Lucida Sans Unicode"/>
                <w:color w:val="000000"/>
                <w:lang w:eastAsia="en-US" w:bidi="en-US"/>
              </w:rPr>
            </w:pPr>
            <w:r>
              <w:rPr>
                <w:lang w:eastAsia="en-US"/>
              </w:rPr>
              <w:t>Наименование</w:t>
            </w:r>
          </w:p>
        </w:tc>
        <w:tc>
          <w:tcPr>
            <w:tcW w:w="1550" w:type="dxa"/>
            <w:tcBorders>
              <w:top w:val="single" w:sz="4" w:space="0" w:color="auto"/>
              <w:left w:val="single" w:sz="4" w:space="0" w:color="auto"/>
              <w:bottom w:val="single" w:sz="4" w:space="0" w:color="auto"/>
              <w:right w:val="single" w:sz="4" w:space="0" w:color="auto"/>
            </w:tcBorders>
            <w:vAlign w:val="center"/>
            <w:hideMark/>
          </w:tcPr>
          <w:p w:rsidR="00313465" w:rsidRDefault="00313465">
            <w:pPr>
              <w:widowControl w:val="0"/>
              <w:spacing w:after="60" w:line="276" w:lineRule="auto"/>
              <w:jc w:val="center"/>
              <w:rPr>
                <w:rFonts w:eastAsia="Lucida Sans Unicode"/>
                <w:color w:val="000000"/>
                <w:lang w:eastAsia="en-US" w:bidi="en-US"/>
              </w:rPr>
            </w:pPr>
            <w:r>
              <w:rPr>
                <w:lang w:eastAsia="en-US"/>
              </w:rPr>
              <w:t>Количество, шт.</w:t>
            </w:r>
          </w:p>
        </w:tc>
      </w:tr>
      <w:tr w:rsidR="00313465" w:rsidTr="00313465">
        <w:tc>
          <w:tcPr>
            <w:tcW w:w="566" w:type="dxa"/>
            <w:tcBorders>
              <w:top w:val="single" w:sz="4" w:space="0" w:color="auto"/>
              <w:left w:val="single" w:sz="4" w:space="0" w:color="auto"/>
              <w:bottom w:val="single" w:sz="4" w:space="0" w:color="auto"/>
              <w:right w:val="single" w:sz="4" w:space="0" w:color="auto"/>
            </w:tcBorders>
            <w:vAlign w:val="center"/>
            <w:hideMark/>
          </w:tcPr>
          <w:p w:rsidR="00313465" w:rsidRDefault="00313465">
            <w:pPr>
              <w:widowControl w:val="0"/>
              <w:spacing w:after="60" w:line="276" w:lineRule="auto"/>
              <w:jc w:val="center"/>
              <w:rPr>
                <w:rFonts w:eastAsia="Lucida Sans Unicode"/>
                <w:color w:val="000000"/>
                <w:lang w:eastAsia="en-US" w:bidi="en-US"/>
              </w:rPr>
            </w:pPr>
            <w:r>
              <w:rPr>
                <w:lang w:eastAsia="en-US"/>
              </w:rPr>
              <w:t>1</w:t>
            </w:r>
          </w:p>
        </w:tc>
        <w:tc>
          <w:tcPr>
            <w:tcW w:w="7063" w:type="dxa"/>
            <w:tcBorders>
              <w:top w:val="single" w:sz="4" w:space="0" w:color="auto"/>
              <w:left w:val="single" w:sz="4" w:space="0" w:color="auto"/>
              <w:bottom w:val="single" w:sz="4" w:space="0" w:color="auto"/>
              <w:right w:val="single" w:sz="4" w:space="0" w:color="auto"/>
            </w:tcBorders>
            <w:hideMark/>
          </w:tcPr>
          <w:p w:rsidR="00313465" w:rsidRDefault="00313465">
            <w:pPr>
              <w:widowControl w:val="0"/>
              <w:spacing w:after="60" w:line="276" w:lineRule="auto"/>
              <w:jc w:val="both"/>
              <w:rPr>
                <w:rFonts w:eastAsia="Lucida Sans Unicode"/>
                <w:color w:val="000000"/>
                <w:lang w:eastAsia="en-US" w:bidi="en-US"/>
              </w:rPr>
            </w:pPr>
            <w:r>
              <w:rPr>
                <w:lang w:eastAsia="en-US"/>
              </w:rPr>
              <w:t>Сигнализатор звука цифровой со световой индикацией</w:t>
            </w:r>
          </w:p>
        </w:tc>
        <w:tc>
          <w:tcPr>
            <w:tcW w:w="1550" w:type="dxa"/>
            <w:tcBorders>
              <w:top w:val="single" w:sz="4" w:space="0" w:color="auto"/>
              <w:left w:val="single" w:sz="4" w:space="0" w:color="auto"/>
              <w:bottom w:val="single" w:sz="4" w:space="0" w:color="auto"/>
              <w:right w:val="single" w:sz="4" w:space="0" w:color="auto"/>
            </w:tcBorders>
            <w:hideMark/>
          </w:tcPr>
          <w:p w:rsidR="00313465" w:rsidRDefault="00313465">
            <w:pPr>
              <w:widowControl w:val="0"/>
              <w:spacing w:after="60" w:line="276" w:lineRule="auto"/>
              <w:jc w:val="center"/>
              <w:rPr>
                <w:rFonts w:eastAsia="Lucida Sans Unicode"/>
                <w:color w:val="000000"/>
                <w:lang w:val="en-US" w:eastAsia="en-US" w:bidi="en-US"/>
              </w:rPr>
            </w:pPr>
            <w:r>
              <w:rPr>
                <w:lang w:val="en-US" w:eastAsia="en-US"/>
              </w:rPr>
              <w:t>100</w:t>
            </w:r>
          </w:p>
        </w:tc>
      </w:tr>
      <w:tr w:rsidR="00313465" w:rsidTr="00313465">
        <w:tc>
          <w:tcPr>
            <w:tcW w:w="566" w:type="dxa"/>
            <w:tcBorders>
              <w:top w:val="single" w:sz="4" w:space="0" w:color="auto"/>
              <w:left w:val="single" w:sz="4" w:space="0" w:color="auto"/>
              <w:bottom w:val="single" w:sz="4" w:space="0" w:color="auto"/>
              <w:right w:val="single" w:sz="4" w:space="0" w:color="auto"/>
            </w:tcBorders>
            <w:vAlign w:val="center"/>
            <w:hideMark/>
          </w:tcPr>
          <w:p w:rsidR="00313465" w:rsidRDefault="00313465">
            <w:pPr>
              <w:widowControl w:val="0"/>
              <w:spacing w:after="60" w:line="276" w:lineRule="auto"/>
              <w:jc w:val="center"/>
              <w:rPr>
                <w:rFonts w:eastAsia="Lucida Sans Unicode"/>
                <w:color w:val="000000"/>
                <w:lang w:eastAsia="en-US" w:bidi="en-US"/>
              </w:rPr>
            </w:pPr>
            <w:r>
              <w:rPr>
                <w:lang w:eastAsia="en-US"/>
              </w:rPr>
              <w:t>2</w:t>
            </w:r>
          </w:p>
        </w:tc>
        <w:tc>
          <w:tcPr>
            <w:tcW w:w="7063" w:type="dxa"/>
            <w:tcBorders>
              <w:top w:val="single" w:sz="4" w:space="0" w:color="auto"/>
              <w:left w:val="single" w:sz="4" w:space="0" w:color="auto"/>
              <w:bottom w:val="single" w:sz="4" w:space="0" w:color="auto"/>
              <w:right w:val="single" w:sz="4" w:space="0" w:color="auto"/>
            </w:tcBorders>
            <w:hideMark/>
          </w:tcPr>
          <w:p w:rsidR="00313465" w:rsidRDefault="00313465">
            <w:pPr>
              <w:widowControl w:val="0"/>
              <w:spacing w:after="60" w:line="276" w:lineRule="auto"/>
              <w:jc w:val="both"/>
              <w:rPr>
                <w:rFonts w:eastAsia="Lucida Sans Unicode"/>
                <w:color w:val="000000"/>
                <w:lang w:eastAsia="en-US" w:bidi="en-US"/>
              </w:rPr>
            </w:pPr>
            <w:r>
              <w:rPr>
                <w:lang w:eastAsia="en-US"/>
              </w:rPr>
              <w:t>Сигнализатор звука цифровой с вибрационной индикацией</w:t>
            </w:r>
          </w:p>
        </w:tc>
        <w:tc>
          <w:tcPr>
            <w:tcW w:w="1550" w:type="dxa"/>
            <w:tcBorders>
              <w:top w:val="single" w:sz="4" w:space="0" w:color="auto"/>
              <w:left w:val="single" w:sz="4" w:space="0" w:color="auto"/>
              <w:bottom w:val="single" w:sz="4" w:space="0" w:color="auto"/>
              <w:right w:val="single" w:sz="4" w:space="0" w:color="auto"/>
            </w:tcBorders>
            <w:hideMark/>
          </w:tcPr>
          <w:p w:rsidR="00313465" w:rsidRDefault="00313465">
            <w:pPr>
              <w:widowControl w:val="0"/>
              <w:spacing w:after="60" w:line="276" w:lineRule="auto"/>
              <w:jc w:val="center"/>
              <w:rPr>
                <w:rFonts w:eastAsia="Lucida Sans Unicode"/>
                <w:color w:val="000000"/>
                <w:lang w:val="en-US" w:eastAsia="en-US" w:bidi="en-US"/>
              </w:rPr>
            </w:pPr>
            <w:r>
              <w:rPr>
                <w:lang w:eastAsia="en-US"/>
              </w:rPr>
              <w:t>1</w:t>
            </w:r>
            <w:r>
              <w:rPr>
                <w:lang w:val="en-US" w:eastAsia="en-US"/>
              </w:rPr>
              <w:t>00</w:t>
            </w:r>
          </w:p>
        </w:tc>
      </w:tr>
      <w:tr w:rsidR="00313465" w:rsidTr="00313465">
        <w:tc>
          <w:tcPr>
            <w:tcW w:w="566" w:type="dxa"/>
            <w:tcBorders>
              <w:top w:val="single" w:sz="4" w:space="0" w:color="auto"/>
              <w:left w:val="single" w:sz="4" w:space="0" w:color="auto"/>
              <w:bottom w:val="single" w:sz="4" w:space="0" w:color="auto"/>
              <w:right w:val="single" w:sz="4" w:space="0" w:color="auto"/>
            </w:tcBorders>
            <w:vAlign w:val="center"/>
            <w:hideMark/>
          </w:tcPr>
          <w:p w:rsidR="00313465" w:rsidRDefault="00313465">
            <w:pPr>
              <w:widowControl w:val="0"/>
              <w:spacing w:after="60" w:line="276" w:lineRule="auto"/>
              <w:jc w:val="center"/>
              <w:rPr>
                <w:rFonts w:eastAsia="Lucida Sans Unicode"/>
                <w:color w:val="000000"/>
                <w:lang w:eastAsia="en-US" w:bidi="en-US"/>
              </w:rPr>
            </w:pPr>
            <w:r>
              <w:rPr>
                <w:lang w:eastAsia="en-US"/>
              </w:rPr>
              <w:t>3</w:t>
            </w:r>
          </w:p>
        </w:tc>
        <w:tc>
          <w:tcPr>
            <w:tcW w:w="7063" w:type="dxa"/>
            <w:tcBorders>
              <w:top w:val="single" w:sz="4" w:space="0" w:color="auto"/>
              <w:left w:val="single" w:sz="4" w:space="0" w:color="auto"/>
              <w:bottom w:val="single" w:sz="4" w:space="0" w:color="auto"/>
              <w:right w:val="single" w:sz="4" w:space="0" w:color="auto"/>
            </w:tcBorders>
            <w:hideMark/>
          </w:tcPr>
          <w:p w:rsidR="00313465" w:rsidRDefault="00313465">
            <w:pPr>
              <w:widowControl w:val="0"/>
              <w:spacing w:after="60" w:line="276" w:lineRule="auto"/>
              <w:jc w:val="both"/>
              <w:rPr>
                <w:rFonts w:eastAsia="Lucida Sans Unicode"/>
                <w:color w:val="000000"/>
                <w:lang w:eastAsia="en-US" w:bidi="en-US"/>
              </w:rPr>
            </w:pPr>
            <w:r>
              <w:rPr>
                <w:lang w:eastAsia="en-US"/>
              </w:rPr>
              <w:t>Сигнализатор звука цифровой с вибрационной индикацией и световой индикацией</w:t>
            </w:r>
          </w:p>
        </w:tc>
        <w:tc>
          <w:tcPr>
            <w:tcW w:w="1550" w:type="dxa"/>
            <w:tcBorders>
              <w:top w:val="single" w:sz="4" w:space="0" w:color="auto"/>
              <w:left w:val="single" w:sz="4" w:space="0" w:color="auto"/>
              <w:bottom w:val="single" w:sz="4" w:space="0" w:color="auto"/>
              <w:right w:val="single" w:sz="4" w:space="0" w:color="auto"/>
            </w:tcBorders>
            <w:hideMark/>
          </w:tcPr>
          <w:p w:rsidR="00313465" w:rsidRDefault="00313465">
            <w:pPr>
              <w:widowControl w:val="0"/>
              <w:spacing w:after="60" w:line="276" w:lineRule="auto"/>
              <w:jc w:val="center"/>
              <w:rPr>
                <w:rFonts w:eastAsia="Lucida Sans Unicode"/>
                <w:color w:val="000000"/>
                <w:lang w:val="en-US" w:eastAsia="en-US" w:bidi="en-US"/>
              </w:rPr>
            </w:pPr>
            <w:r>
              <w:rPr>
                <w:lang w:val="en-US" w:eastAsia="en-US"/>
              </w:rPr>
              <w:t>30</w:t>
            </w:r>
          </w:p>
        </w:tc>
      </w:tr>
    </w:tbl>
    <w:p w:rsidR="00313465" w:rsidRDefault="00313465" w:rsidP="00313465">
      <w:pPr>
        <w:ind w:firstLine="567"/>
        <w:jc w:val="both"/>
      </w:pPr>
      <w:r>
        <w:t>Сигнализатор звука должен соответствовать требованиям стандартов:</w:t>
      </w:r>
    </w:p>
    <w:p w:rsidR="00313465" w:rsidRDefault="00313465" w:rsidP="00313465">
      <w:pPr>
        <w:ind w:firstLine="567"/>
        <w:jc w:val="both"/>
        <w:rPr>
          <w:bCs/>
        </w:rPr>
      </w:pPr>
      <w:r>
        <w:t>ГОСТ Р 51264-99 «</w:t>
      </w:r>
      <w:r>
        <w:rPr>
          <w:bCs/>
        </w:rPr>
        <w:t xml:space="preserve">Средства связи, информатики и сигнализации реабилитационные электронные. Общие технические условия». </w:t>
      </w:r>
      <w:r>
        <w:t>Указанный стандарт подлежит применению только в части, соответствующей целям, указанным в п.1 Постановления Государственного комитета РФ по стандартизации и метрологии от 30.01.2004 № 4;</w:t>
      </w:r>
    </w:p>
    <w:p w:rsidR="00313465" w:rsidRDefault="00313465" w:rsidP="00313465">
      <w:pPr>
        <w:ind w:firstLine="567"/>
        <w:jc w:val="both"/>
      </w:pPr>
      <w:r>
        <w:t>ГОСТ Р 51632-2021 «</w:t>
      </w:r>
      <w:r>
        <w:rPr>
          <w:bCs/>
        </w:rPr>
        <w:t>Технические средства реабилитации людей с ограничениями жизнедеятельности. Общие технические требования и методы испытаний»</w:t>
      </w:r>
      <w:r>
        <w:t>;</w:t>
      </w:r>
    </w:p>
    <w:p w:rsidR="00313465" w:rsidRDefault="00313465" w:rsidP="00313465">
      <w:pPr>
        <w:ind w:firstLine="567"/>
        <w:jc w:val="both"/>
        <w:rPr>
          <w:bCs/>
        </w:rPr>
      </w:pPr>
      <w:r>
        <w:t>ГОСТ Р ИСО 9999-2019 «</w:t>
      </w:r>
      <w:r>
        <w:rPr>
          <w:bCs/>
        </w:rPr>
        <w:t>Вспомогательные средства для людей с ограничениями жизнедеятельности. Классификация и терминология»;</w:t>
      </w:r>
    </w:p>
    <w:p w:rsidR="00313465" w:rsidRDefault="00313465" w:rsidP="00313465">
      <w:pPr>
        <w:ind w:firstLine="567"/>
        <w:jc w:val="both"/>
        <w:rPr>
          <w:bCs/>
        </w:rPr>
      </w:pPr>
      <w:r>
        <w:rPr>
          <w:bCs/>
        </w:rPr>
        <w:t>ГОСТ Р 59810-2021 «Средства вспомогательные для инвалидов. Сигнализаторы звука цифровые. Классификация. Технические требования и методы контроля»;</w:t>
      </w:r>
    </w:p>
    <w:p w:rsidR="00313465" w:rsidRDefault="00313465" w:rsidP="00313465">
      <w:pPr>
        <w:ind w:firstLine="567"/>
        <w:jc w:val="both"/>
        <w:rPr>
          <w:bCs/>
        </w:rPr>
      </w:pPr>
      <w:r>
        <w:rPr>
          <w:bCs/>
        </w:rPr>
        <w:t>ГОСТ Р 70185-22 «Технические средства реабилитации. Сигнализаторы звука световые и вибрационные. Общие технические условия».</w:t>
      </w:r>
    </w:p>
    <w:p w:rsidR="00313465" w:rsidRDefault="00313465" w:rsidP="00313465">
      <w:pPr>
        <w:autoSpaceDE w:val="0"/>
        <w:autoSpaceDN w:val="0"/>
        <w:adjustRightInd w:val="0"/>
        <w:jc w:val="both"/>
        <w:rPr>
          <w:rFonts w:eastAsiaTheme="minorHAnsi"/>
          <w:lang w:eastAsia="en-US"/>
        </w:rPr>
      </w:pPr>
      <w:r>
        <w:rPr>
          <w:rFonts w:eastAsiaTheme="minorHAnsi"/>
          <w:b/>
          <w:bCs/>
          <w:lang w:eastAsia="en-US"/>
        </w:rPr>
        <w:t xml:space="preserve">          Цифровые сигнализаторы звука - э</w:t>
      </w:r>
      <w:r>
        <w:rPr>
          <w:rFonts w:eastAsiaTheme="minorHAnsi"/>
          <w:lang w:eastAsia="en-US"/>
        </w:rPr>
        <w:t>лектронная цифровая аппаратура, позволяющая оповещать людей с инвалидностью по слуху о звуковых событиях с помощью незвуковых сигналов различного рода (например, световых, вибрационных) (п. 3.1.1 ГОСТ Р 70185-2022).</w:t>
      </w:r>
    </w:p>
    <w:p w:rsidR="00313465" w:rsidRDefault="00313465" w:rsidP="00313465">
      <w:pPr>
        <w:ind w:firstLine="567"/>
        <w:jc w:val="both"/>
        <w:rPr>
          <w:b/>
          <w:lang w:eastAsia="ru-RU"/>
        </w:rPr>
      </w:pPr>
      <w:r>
        <w:rPr>
          <w:b/>
        </w:rPr>
        <w:t>Цифровой сигнализатор со световой индикацией:</w:t>
      </w:r>
    </w:p>
    <w:p w:rsidR="00313465" w:rsidRDefault="00313465" w:rsidP="00313465">
      <w:pPr>
        <w:ind w:firstLine="567"/>
        <w:jc w:val="both"/>
      </w:pPr>
      <w:r>
        <w:t>Сигнализирующие устройство (приемник) должно быть беспроводное по конструкции.</w:t>
      </w:r>
    </w:p>
    <w:p w:rsidR="00313465" w:rsidRDefault="00313465" w:rsidP="00313465">
      <w:pPr>
        <w:ind w:firstLine="567"/>
        <w:jc w:val="both"/>
      </w:pPr>
      <w:r>
        <w:lastRenderedPageBreak/>
        <w:t>Цифровой световой индикатор должен привлекать внимание пользователя с помощью:</w:t>
      </w:r>
    </w:p>
    <w:p w:rsidR="00313465" w:rsidRDefault="00313465" w:rsidP="00313465">
      <w:pPr>
        <w:pStyle w:val="a7"/>
        <w:numPr>
          <w:ilvl w:val="0"/>
          <w:numId w:val="3"/>
        </w:numPr>
        <w:jc w:val="both"/>
      </w:pPr>
      <w:r>
        <w:t>световой индикацией рабочего состояния приемника;</w:t>
      </w:r>
    </w:p>
    <w:p w:rsidR="00313465" w:rsidRDefault="00313465" w:rsidP="00313465">
      <w:pPr>
        <w:pStyle w:val="a7"/>
        <w:numPr>
          <w:ilvl w:val="0"/>
          <w:numId w:val="3"/>
        </w:numPr>
        <w:jc w:val="both"/>
      </w:pPr>
      <w:r>
        <w:t>световой (стробоскопической) индикацией приемника;</w:t>
      </w:r>
    </w:p>
    <w:p w:rsidR="00313465" w:rsidRDefault="00313465" w:rsidP="00313465">
      <w:pPr>
        <w:pStyle w:val="a7"/>
        <w:numPr>
          <w:ilvl w:val="0"/>
          <w:numId w:val="3"/>
        </w:numPr>
        <w:jc w:val="both"/>
      </w:pPr>
      <w:r>
        <w:t>светодиодной индикацией на корпусе передатчиков сигнала дверного звонка, телефона и (или) домофона о поступающих на передатчики сигналах.</w:t>
      </w:r>
    </w:p>
    <w:p w:rsidR="00313465" w:rsidRDefault="00313465" w:rsidP="00313465">
      <w:pPr>
        <w:ind w:firstLine="567"/>
        <w:jc w:val="both"/>
      </w:pPr>
      <w:r>
        <w:t xml:space="preserve">Цифровой приемник со световой (стробоскопической) индикацией должен служить для приема сигналов дверного звонка, телефона и (или) домофона. При входящем сигнале световой приемник оповещает инвалида световой индикацией яркими вспышками стробоскопа встроенного в корпус приемника различимыми в дневное время суток. Питание светового приемника должно осуществляться от сети переменного тока 220 В, 50 Гц и от элементов питания </w:t>
      </w:r>
      <w:r>
        <w:rPr>
          <w:rFonts w:eastAsiaTheme="minorHAnsi"/>
          <w:lang w:eastAsia="en-US"/>
        </w:rPr>
        <w:t>(п. 3.1.1 ГОСТ Р 70185-2022)</w:t>
      </w:r>
      <w:r>
        <w:t>.</w:t>
      </w:r>
    </w:p>
    <w:p w:rsidR="00313465" w:rsidRDefault="00313465" w:rsidP="00313465">
      <w:pPr>
        <w:ind w:firstLine="567"/>
        <w:jc w:val="both"/>
      </w:pPr>
      <w:r>
        <w:t xml:space="preserve">Цифровые передатчики должны служить для передачи информации о входном сигнале дверного звонка, домофона и (или) телефона на световой приемник. В передатчиках должны быть установлены электрические датчики, что исключает возможность ложного срабатывания. Передатчик звонка домофона и (или) телефона подключается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13465" w:rsidRDefault="00313465" w:rsidP="00313465">
      <w:pPr>
        <w:ind w:firstLine="567"/>
        <w:jc w:val="both"/>
      </w:pPr>
      <w:r>
        <w:t>В комплектацию сигнализатора со световой индикацией должны входить:</w:t>
      </w:r>
    </w:p>
    <w:p w:rsidR="00313465" w:rsidRDefault="00313465" w:rsidP="00313465">
      <w:pPr>
        <w:ind w:firstLine="567"/>
        <w:jc w:val="both"/>
      </w:pPr>
      <w:r>
        <w:t>- световой приемник;</w:t>
      </w:r>
    </w:p>
    <w:p w:rsidR="00313465" w:rsidRDefault="00313465" w:rsidP="00313465">
      <w:pPr>
        <w:ind w:firstLine="567"/>
        <w:jc w:val="both"/>
      </w:pPr>
      <w:r>
        <w:t>- передатчик дверного звонка;</w:t>
      </w:r>
    </w:p>
    <w:p w:rsidR="00313465" w:rsidRDefault="00313465" w:rsidP="00313465">
      <w:pPr>
        <w:ind w:firstLine="567"/>
        <w:jc w:val="both"/>
      </w:pPr>
      <w:r>
        <w:t>- передатчик звонка домофона и (или) телефона;</w:t>
      </w:r>
    </w:p>
    <w:p w:rsidR="00313465" w:rsidRDefault="00313465" w:rsidP="00313465">
      <w:pPr>
        <w:ind w:firstLine="567"/>
        <w:jc w:val="both"/>
      </w:pPr>
      <w:r>
        <w:t>- переходник для подключения к телефонной линии (при наличии передатчика звонка телефона);</w:t>
      </w:r>
    </w:p>
    <w:p w:rsidR="00313465" w:rsidRDefault="00313465" w:rsidP="00313465">
      <w:pPr>
        <w:ind w:firstLine="567"/>
        <w:jc w:val="both"/>
      </w:pPr>
      <w:r>
        <w:t>- клеммы для подключения к линии домофона (при наличии передатчика звонка домофона);</w:t>
      </w:r>
    </w:p>
    <w:p w:rsidR="00313465" w:rsidRDefault="00313465" w:rsidP="00313465">
      <w:pPr>
        <w:ind w:firstLine="567"/>
        <w:jc w:val="both"/>
      </w:pPr>
      <w:r>
        <w:t>- элементы питания, в количестве, необходимом для работы сигнализатора.</w:t>
      </w:r>
    </w:p>
    <w:p w:rsidR="00313465" w:rsidRDefault="00313465" w:rsidP="00313465">
      <w:pPr>
        <w:ind w:firstLine="567"/>
        <w:jc w:val="both"/>
      </w:pPr>
    </w:p>
    <w:p w:rsidR="00313465" w:rsidRDefault="00313465" w:rsidP="00313465">
      <w:pPr>
        <w:ind w:firstLine="567"/>
        <w:jc w:val="both"/>
        <w:rPr>
          <w:b/>
        </w:rPr>
      </w:pPr>
      <w:r>
        <w:rPr>
          <w:b/>
        </w:rPr>
        <w:t>Цифровой сигнализатор с вибрационной индикацией:</w:t>
      </w:r>
    </w:p>
    <w:p w:rsidR="00313465" w:rsidRDefault="00313465" w:rsidP="00313465">
      <w:pPr>
        <w:widowControl w:val="0"/>
        <w:snapToGrid w:val="0"/>
        <w:ind w:firstLine="567"/>
        <w:jc w:val="both"/>
      </w:pPr>
      <w:r>
        <w:t>Сигнализирующие устройство (приемник) должно быть беспроводное по конструкции.</w:t>
      </w:r>
    </w:p>
    <w:p w:rsidR="00313465" w:rsidRDefault="00313465" w:rsidP="00313465">
      <w:pPr>
        <w:widowControl w:val="0"/>
        <w:snapToGrid w:val="0"/>
        <w:ind w:firstLine="567"/>
        <w:jc w:val="both"/>
      </w:pPr>
      <w:r>
        <w:t xml:space="preserve">Цифровой вибрационный индикатор должен привлекать внимание пользователя с помощью: </w:t>
      </w:r>
    </w:p>
    <w:p w:rsidR="00313465" w:rsidRDefault="00313465" w:rsidP="00313465">
      <w:pPr>
        <w:widowControl w:val="0"/>
        <w:snapToGrid w:val="0"/>
        <w:ind w:firstLine="567"/>
        <w:jc w:val="both"/>
      </w:pPr>
      <w:r>
        <w:t xml:space="preserve">-вибрации корпуса беспроводного вибрационного приемника; </w:t>
      </w:r>
    </w:p>
    <w:p w:rsidR="00313465" w:rsidRDefault="00313465" w:rsidP="00313465">
      <w:pPr>
        <w:widowControl w:val="0"/>
        <w:snapToGrid w:val="0"/>
        <w:ind w:firstLine="567"/>
        <w:jc w:val="both"/>
      </w:pPr>
      <w:r>
        <w:t>-светодиодной индикацией на корпусе передатчиков сигнала дверного звонка, телефона и (или) домофона о поступающих на передатчики сигналах.</w:t>
      </w:r>
    </w:p>
    <w:p w:rsidR="00313465" w:rsidRDefault="00313465" w:rsidP="00313465">
      <w:pPr>
        <w:widowControl w:val="0"/>
        <w:snapToGrid w:val="0"/>
        <w:ind w:firstLine="567"/>
        <w:jc w:val="both"/>
      </w:pPr>
      <w:r>
        <w:t>Вибрационный приемник должен служить для приема сигналов дверного звонка, домофона и (или) телефонного звонка. Вибрационный приемник должен быть беспроводным. Вибрационный приемник должен оповещать пользователя посредством сильной вибрации корпуса. Должен иметь функцию переключения режимов работы. Питание приемника должно осуществляется от элементов питания для исключения возможности поражения пользователя электрическим током.</w:t>
      </w:r>
    </w:p>
    <w:p w:rsidR="00313465" w:rsidRDefault="00313465" w:rsidP="00313465">
      <w:pPr>
        <w:widowControl w:val="0"/>
        <w:snapToGrid w:val="0"/>
        <w:ind w:firstLine="567"/>
        <w:jc w:val="both"/>
      </w:pPr>
      <w:r>
        <w:t xml:space="preserve">Цифровые передатчики должны служить для передачи информации о входном сигнале дверного звонка, домофона и (или) телефона на вибрационный приемник. В передатчиках должны быть установлены электрические датчики, что исключает возможность ложного срабатывания. Передатчик звонка домофона и (или) телефона подключается проводным способом к источнику сигнала с помощью модульных </w:t>
      </w:r>
      <w:r>
        <w:lastRenderedPageBreak/>
        <w:t xml:space="preserve">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13465" w:rsidRDefault="00313465" w:rsidP="00313465">
      <w:pPr>
        <w:widowControl w:val="0"/>
        <w:ind w:firstLine="567"/>
        <w:jc w:val="both"/>
      </w:pPr>
      <w:r>
        <w:t>В комплектацию сигнализатора с вибрационной индикацией должны входить:</w:t>
      </w:r>
    </w:p>
    <w:p w:rsidR="00313465" w:rsidRDefault="00313465" w:rsidP="00313465">
      <w:pPr>
        <w:widowControl w:val="0"/>
        <w:ind w:firstLine="567"/>
        <w:jc w:val="both"/>
      </w:pPr>
      <w:r>
        <w:t>- вибрационный приемник;</w:t>
      </w:r>
    </w:p>
    <w:p w:rsidR="00313465" w:rsidRDefault="00313465" w:rsidP="00313465">
      <w:pPr>
        <w:widowControl w:val="0"/>
        <w:ind w:firstLine="567"/>
        <w:jc w:val="both"/>
      </w:pPr>
      <w:r>
        <w:t>- передатчик дверного звонка;</w:t>
      </w:r>
    </w:p>
    <w:p w:rsidR="00313465" w:rsidRDefault="00313465" w:rsidP="00313465">
      <w:pPr>
        <w:widowControl w:val="0"/>
        <w:ind w:firstLine="567"/>
        <w:jc w:val="both"/>
      </w:pPr>
      <w:r>
        <w:t>- передатчик звонка домофона и (или) телефона;</w:t>
      </w:r>
    </w:p>
    <w:p w:rsidR="00313465" w:rsidRDefault="00313465" w:rsidP="00313465">
      <w:pPr>
        <w:widowControl w:val="0"/>
        <w:ind w:firstLine="567"/>
        <w:jc w:val="both"/>
      </w:pPr>
      <w:r>
        <w:t>- переходник для подключения к телефонной линии (при наличии передатчика звонка телефона);</w:t>
      </w:r>
    </w:p>
    <w:p w:rsidR="00313465" w:rsidRDefault="00313465" w:rsidP="00313465">
      <w:pPr>
        <w:widowControl w:val="0"/>
        <w:ind w:firstLine="567"/>
        <w:jc w:val="both"/>
      </w:pPr>
      <w:r>
        <w:t>- клеммы для подключения к линии домофона (при наличии передатчика звонка домофона);</w:t>
      </w:r>
    </w:p>
    <w:p w:rsidR="00313465" w:rsidRDefault="00313465" w:rsidP="00313465">
      <w:pPr>
        <w:widowControl w:val="0"/>
        <w:ind w:firstLine="567"/>
        <w:jc w:val="both"/>
      </w:pPr>
      <w:r>
        <w:t>- элементы питания, в количестве, необходимом для работы сигнализатора;</w:t>
      </w:r>
    </w:p>
    <w:p w:rsidR="00313465" w:rsidRDefault="00313465" w:rsidP="00313465">
      <w:pPr>
        <w:widowControl w:val="0"/>
        <w:ind w:firstLine="567"/>
        <w:jc w:val="both"/>
      </w:pPr>
    </w:p>
    <w:p w:rsidR="00313465" w:rsidRDefault="00313465" w:rsidP="00313465">
      <w:pPr>
        <w:framePr w:hSpace="180" w:wrap="around" w:vAnchor="text" w:hAnchor="text" w:x="-792" w:y="1"/>
        <w:widowControl w:val="0"/>
        <w:ind w:firstLine="567"/>
        <w:jc w:val="both"/>
        <w:rPr>
          <w:highlight w:val="yellow"/>
        </w:rPr>
      </w:pPr>
    </w:p>
    <w:p w:rsidR="00313465" w:rsidRDefault="00313465" w:rsidP="00313465">
      <w:pPr>
        <w:widowControl w:val="0"/>
        <w:snapToGrid w:val="0"/>
        <w:ind w:firstLine="567"/>
        <w:jc w:val="both"/>
      </w:pPr>
      <w:r>
        <w:rPr>
          <w:b/>
        </w:rPr>
        <w:t>Цифровой сигнализатор с вибрационной и световой индикацией:</w:t>
      </w:r>
    </w:p>
    <w:p w:rsidR="00313465" w:rsidRDefault="00313465" w:rsidP="00313465">
      <w:pPr>
        <w:widowControl w:val="0"/>
        <w:snapToGrid w:val="0"/>
        <w:ind w:firstLine="567"/>
        <w:jc w:val="both"/>
      </w:pPr>
      <w:r>
        <w:t>Сигнализирующие устройство (приемник) должно быть беспроводное по конструкции.</w:t>
      </w:r>
    </w:p>
    <w:p w:rsidR="00313465" w:rsidRDefault="00313465" w:rsidP="00313465">
      <w:pPr>
        <w:widowControl w:val="0"/>
        <w:snapToGrid w:val="0"/>
        <w:ind w:firstLine="567"/>
        <w:jc w:val="both"/>
      </w:pPr>
      <w:r>
        <w:t xml:space="preserve">Цифровой вибрационно-световой индикатор должен привлекать внимание пользователя с помощью: </w:t>
      </w:r>
    </w:p>
    <w:p w:rsidR="00313465" w:rsidRDefault="00313465" w:rsidP="00313465">
      <w:pPr>
        <w:widowControl w:val="0"/>
        <w:snapToGrid w:val="0"/>
        <w:ind w:firstLine="567"/>
        <w:jc w:val="both"/>
      </w:pPr>
      <w:r>
        <w:t>-вибрации корпуса наручного приемника</w:t>
      </w:r>
    </w:p>
    <w:p w:rsidR="00313465" w:rsidRDefault="00313465" w:rsidP="00313465">
      <w:pPr>
        <w:widowControl w:val="0"/>
        <w:snapToGrid w:val="0"/>
        <w:ind w:firstLine="567"/>
        <w:jc w:val="both"/>
      </w:pPr>
      <w:r>
        <w:t>-светодиодной индикацией наручного приемника;</w:t>
      </w:r>
    </w:p>
    <w:p w:rsidR="00313465" w:rsidRDefault="00313465" w:rsidP="00313465">
      <w:pPr>
        <w:widowControl w:val="0"/>
        <w:snapToGrid w:val="0"/>
        <w:ind w:firstLine="567"/>
        <w:jc w:val="both"/>
      </w:pPr>
      <w:r>
        <w:t>-индикацией рабочего состояния наручного приемника;</w:t>
      </w:r>
    </w:p>
    <w:p w:rsidR="00313465" w:rsidRDefault="00313465" w:rsidP="00313465">
      <w:pPr>
        <w:widowControl w:val="0"/>
        <w:snapToGrid w:val="0"/>
        <w:ind w:firstLine="567"/>
        <w:jc w:val="both"/>
      </w:pPr>
      <w:r>
        <w:t>-светодиодной индикацией на корпусе передатчиков сигнала дверного звонка, телефона и (или) домофона о поступающих на передатчики сигналах.</w:t>
      </w:r>
    </w:p>
    <w:p w:rsidR="00313465" w:rsidRDefault="00313465" w:rsidP="00313465">
      <w:pPr>
        <w:widowControl w:val="0"/>
        <w:snapToGrid w:val="0"/>
        <w:ind w:firstLine="567"/>
        <w:jc w:val="both"/>
      </w:pPr>
      <w:r>
        <w:t>Цифровой наручный приемник со светодиодной индикацией должен служить для приема сигналов дверного звонка, домофона и (или) телефонного звонка. Корпус наручного приемника выполнен в форм-факторе наручных часов. Должен иметь кнопку включения и (или) сброса со светодиодной индикацией. При включенном приемнике, кнопка включения должна подавать яркие периодические световые импульсы (индикатор рабочего состояния) различимые в дневное время суток. Для каждого бытового сигнала должны иметься специальные иконки с пиктограммой. При входящем сигнале на наручный приемник, должны загораться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должен быть оснащен эластичным ремешком для ношения на руке. Питания наручного приемника должно осуществляться от элементов питания.</w:t>
      </w:r>
    </w:p>
    <w:p w:rsidR="00313465" w:rsidRDefault="00313465" w:rsidP="00313465">
      <w:pPr>
        <w:widowControl w:val="0"/>
        <w:snapToGrid w:val="0"/>
        <w:ind w:firstLine="567"/>
        <w:jc w:val="both"/>
      </w:pPr>
      <w:r>
        <w:t xml:space="preserve">Цифровые передатчики должны служить для передачи информации о входном сигнале дверного звонка, домофона и (или) телефона на наручный приемник. В передатчиках должны быть установлены электрические датчики, что исключает возможность ложного срабатывания. Передатчик звонка домофона и (или) телефона подключаются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13465" w:rsidRDefault="00313465" w:rsidP="00313465">
      <w:pPr>
        <w:widowControl w:val="0"/>
        <w:snapToGrid w:val="0"/>
        <w:ind w:firstLine="567"/>
        <w:jc w:val="both"/>
      </w:pPr>
      <w:r>
        <w:t>В комплектацию сигнализатора с вибрационной и световой   индикацией должны входить:</w:t>
      </w:r>
    </w:p>
    <w:p w:rsidR="00313465" w:rsidRDefault="00313465" w:rsidP="00313465">
      <w:pPr>
        <w:widowControl w:val="0"/>
        <w:snapToGrid w:val="0"/>
        <w:ind w:firstLine="567"/>
        <w:jc w:val="both"/>
      </w:pPr>
      <w:r>
        <w:lastRenderedPageBreak/>
        <w:t>- наручный приемник;</w:t>
      </w:r>
    </w:p>
    <w:p w:rsidR="00313465" w:rsidRDefault="00313465" w:rsidP="00313465">
      <w:pPr>
        <w:widowControl w:val="0"/>
        <w:snapToGrid w:val="0"/>
        <w:ind w:firstLine="567"/>
        <w:jc w:val="both"/>
      </w:pPr>
      <w:r>
        <w:t>- передатчик дверного звонка;</w:t>
      </w:r>
    </w:p>
    <w:p w:rsidR="00313465" w:rsidRDefault="00313465" w:rsidP="00313465">
      <w:pPr>
        <w:widowControl w:val="0"/>
        <w:snapToGrid w:val="0"/>
        <w:ind w:firstLine="567"/>
        <w:jc w:val="both"/>
      </w:pPr>
      <w:r>
        <w:t>- передатчик звонка домофона и (или)телефона;</w:t>
      </w:r>
    </w:p>
    <w:p w:rsidR="00313465" w:rsidRDefault="00313465" w:rsidP="00313465">
      <w:pPr>
        <w:widowControl w:val="0"/>
        <w:snapToGrid w:val="0"/>
        <w:ind w:firstLine="567"/>
        <w:jc w:val="both"/>
      </w:pPr>
      <w:r>
        <w:t>- переходник для подключения к телефонной линии;</w:t>
      </w:r>
    </w:p>
    <w:p w:rsidR="00313465" w:rsidRDefault="00313465" w:rsidP="00313465">
      <w:pPr>
        <w:widowControl w:val="0"/>
        <w:snapToGrid w:val="0"/>
        <w:ind w:firstLine="567"/>
        <w:jc w:val="both"/>
      </w:pPr>
      <w:r>
        <w:t>- клеммы для подключения к линии домофона;</w:t>
      </w:r>
    </w:p>
    <w:p w:rsidR="00313465" w:rsidRDefault="00313465" w:rsidP="00313465">
      <w:pPr>
        <w:widowControl w:val="0"/>
        <w:snapToGrid w:val="0"/>
        <w:ind w:firstLine="567"/>
        <w:jc w:val="both"/>
      </w:pPr>
      <w:r>
        <w:t>- элементы питания, в количестве, необходимом для работы сигнализатора.</w:t>
      </w:r>
    </w:p>
    <w:p w:rsidR="00313465" w:rsidRDefault="00313465" w:rsidP="00313465">
      <w:pPr>
        <w:widowControl w:val="0"/>
        <w:snapToGrid w:val="0"/>
        <w:ind w:firstLine="567"/>
        <w:jc w:val="both"/>
      </w:pPr>
    </w:p>
    <w:p w:rsidR="00313465" w:rsidRDefault="00313465" w:rsidP="00313465">
      <w:pPr>
        <w:widowControl w:val="0"/>
        <w:snapToGrid w:val="0"/>
        <w:ind w:firstLine="567"/>
        <w:jc w:val="both"/>
      </w:pPr>
      <w: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313465" w:rsidRDefault="00313465" w:rsidP="00313465">
      <w:pPr>
        <w:widowControl w:val="0"/>
        <w:snapToGrid w:val="0"/>
        <w:ind w:firstLine="567"/>
        <w:jc w:val="both"/>
      </w:pPr>
      <w:r>
        <w:t>Радиус устойчивого приема сигнала:</w:t>
      </w:r>
    </w:p>
    <w:p w:rsidR="00313465" w:rsidRDefault="00313465" w:rsidP="00313465">
      <w:pPr>
        <w:widowControl w:val="0"/>
        <w:snapToGrid w:val="0"/>
        <w:ind w:firstLine="567"/>
        <w:jc w:val="both"/>
      </w:pPr>
      <w:r>
        <w:t>- в условиях прямой видимости не менее 30 м.</w:t>
      </w:r>
    </w:p>
    <w:p w:rsidR="00313465" w:rsidRDefault="00313465" w:rsidP="00313465">
      <w:pPr>
        <w:widowControl w:val="0"/>
        <w:snapToGrid w:val="0"/>
        <w:ind w:firstLine="567"/>
        <w:jc w:val="both"/>
      </w:pPr>
      <w:r>
        <w:t>Количество адресов сигнализирующего устройства для гарантии отсутствия ложного срабатывания не менее 256.</w:t>
      </w:r>
    </w:p>
    <w:p w:rsidR="00313465" w:rsidRDefault="00313465" w:rsidP="00313465">
      <w:pPr>
        <w:widowControl w:val="0"/>
        <w:snapToGrid w:val="0"/>
        <w:ind w:firstLine="567"/>
        <w:jc w:val="both"/>
      </w:pPr>
      <w:r>
        <w:t>Несущая частота передатчика – частота, разрешения для использования на территории Российской Федерации.</w:t>
      </w:r>
    </w:p>
    <w:p w:rsidR="00313465" w:rsidRDefault="00313465" w:rsidP="00313465">
      <w:pPr>
        <w:autoSpaceDE w:val="0"/>
        <w:autoSpaceDN w:val="0"/>
        <w:adjustRightInd w:val="0"/>
        <w:jc w:val="both"/>
        <w:rPr>
          <w:rFonts w:eastAsiaTheme="minorHAnsi"/>
          <w:lang w:eastAsia="en-US"/>
        </w:rPr>
      </w:pPr>
      <w:r>
        <w:rPr>
          <w:rFonts w:eastAsiaTheme="minorHAnsi"/>
          <w:lang w:eastAsia="en-US"/>
        </w:rPr>
        <w:t xml:space="preserve">         Материалы, применяемые в сигнализаторах и постоянно контактирующие с телом человека, должны быть разрешены к применению Минздравом России (п. 5.6.2 ГОСТ Р 59810-2021).</w:t>
      </w:r>
    </w:p>
    <w:p w:rsidR="00313465" w:rsidRDefault="00313465" w:rsidP="00313465">
      <w:pPr>
        <w:autoSpaceDE w:val="0"/>
        <w:autoSpaceDN w:val="0"/>
        <w:adjustRightInd w:val="0"/>
        <w:jc w:val="both"/>
        <w:rPr>
          <w:rFonts w:eastAsiaTheme="minorHAnsi"/>
          <w:lang w:eastAsia="en-US"/>
        </w:rPr>
      </w:pPr>
      <w:r>
        <w:rPr>
          <w:rFonts w:eastAsiaTheme="minorHAnsi"/>
          <w:lang w:eastAsia="en-US"/>
        </w:rPr>
        <w:t xml:space="preserve">         Внешние части сигнализаторов и входящих устройств (при наличии) не должны иметь острых кромок, заусенцев и т.п., которые могут нанести травму пользователю при эксплуатации аппаратуры в соответствии с ЭД (п. 5.6.3 ГОСТ Р 59810-2021).</w:t>
      </w:r>
    </w:p>
    <w:p w:rsidR="00313465" w:rsidRDefault="00313465" w:rsidP="00313465">
      <w:pPr>
        <w:ind w:firstLine="567"/>
        <w:jc w:val="both"/>
        <w:rPr>
          <w:lang w:eastAsia="ru-RU"/>
        </w:rPr>
      </w:pPr>
      <w:r>
        <w:t>Функциональные и качественные характеристики сигнализаторов звука должны обеспечивать инвалиду возможность пользования изделием в течение установленного срока службы для данного вида технических средств реабилитации, который составляет не менее 5 лет.</w:t>
      </w:r>
    </w:p>
    <w:p w:rsidR="00B12FB1" w:rsidRPr="001975C0" w:rsidRDefault="00313465" w:rsidP="001975C0">
      <w:pPr>
        <w:ind w:firstLine="567"/>
        <w:jc w:val="both"/>
      </w:pPr>
      <w:r>
        <w:t xml:space="preserve">Гарантийный срок 24 месяца со дня ввода в эксплуатацию. Гарантийный ремонт или </w:t>
      </w:r>
      <w:r>
        <w:rPr>
          <w:bCs/>
          <w:spacing w:val="-4"/>
        </w:rPr>
        <w:t xml:space="preserve">замена изделия в связи с обеспечением изделием ненадлежащего качества </w:t>
      </w:r>
      <w:r>
        <w:t xml:space="preserve">должен осуществляться за счет поставщика в период гарантийного срока. </w:t>
      </w:r>
      <w:bookmarkStart w:id="0" w:name="_GoBack"/>
      <w:bookmarkEnd w:id="0"/>
    </w:p>
    <w:sectPr w:rsidR="00B12FB1" w:rsidRPr="001975C0" w:rsidSect="008161E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A10A3"/>
    <w:multiLevelType w:val="hybridMultilevel"/>
    <w:tmpl w:val="40F43012"/>
    <w:lvl w:ilvl="0" w:tplc="FA48254C">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36FB0837"/>
    <w:multiLevelType w:val="hybridMultilevel"/>
    <w:tmpl w:val="3C4ECCBC"/>
    <w:lvl w:ilvl="0" w:tplc="1D7A1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B3"/>
    <w:rsid w:val="000413CB"/>
    <w:rsid w:val="00096B42"/>
    <w:rsid w:val="000C7105"/>
    <w:rsid w:val="001066B1"/>
    <w:rsid w:val="00112062"/>
    <w:rsid w:val="0017437D"/>
    <w:rsid w:val="00182BB9"/>
    <w:rsid w:val="001975C0"/>
    <w:rsid w:val="001A70B1"/>
    <w:rsid w:val="00241F6A"/>
    <w:rsid w:val="0024535C"/>
    <w:rsid w:val="002E5B1F"/>
    <w:rsid w:val="00313465"/>
    <w:rsid w:val="003501B3"/>
    <w:rsid w:val="00380D08"/>
    <w:rsid w:val="003851EC"/>
    <w:rsid w:val="003C7C8C"/>
    <w:rsid w:val="004167F2"/>
    <w:rsid w:val="004329AF"/>
    <w:rsid w:val="00436B8A"/>
    <w:rsid w:val="00462BAB"/>
    <w:rsid w:val="0048041E"/>
    <w:rsid w:val="00493266"/>
    <w:rsid w:val="004B2100"/>
    <w:rsid w:val="00506D02"/>
    <w:rsid w:val="00581744"/>
    <w:rsid w:val="005A1F26"/>
    <w:rsid w:val="005A58ED"/>
    <w:rsid w:val="005B5A8B"/>
    <w:rsid w:val="005D52B9"/>
    <w:rsid w:val="00635236"/>
    <w:rsid w:val="00663BDA"/>
    <w:rsid w:val="006D7BF0"/>
    <w:rsid w:val="006E3928"/>
    <w:rsid w:val="00775CA6"/>
    <w:rsid w:val="007D4314"/>
    <w:rsid w:val="00815F84"/>
    <w:rsid w:val="008161E9"/>
    <w:rsid w:val="00853DDA"/>
    <w:rsid w:val="008D42E1"/>
    <w:rsid w:val="008D481E"/>
    <w:rsid w:val="008F245B"/>
    <w:rsid w:val="00A0349B"/>
    <w:rsid w:val="00A169DE"/>
    <w:rsid w:val="00A403B8"/>
    <w:rsid w:val="00AB5AFF"/>
    <w:rsid w:val="00AE09E8"/>
    <w:rsid w:val="00B12FB1"/>
    <w:rsid w:val="00B3342E"/>
    <w:rsid w:val="00B95955"/>
    <w:rsid w:val="00BC0123"/>
    <w:rsid w:val="00C37AFC"/>
    <w:rsid w:val="00D32D6E"/>
    <w:rsid w:val="00D7118F"/>
    <w:rsid w:val="00D8276E"/>
    <w:rsid w:val="00E82789"/>
    <w:rsid w:val="00EA7233"/>
    <w:rsid w:val="00EC00F7"/>
    <w:rsid w:val="00F50887"/>
    <w:rsid w:val="00FA627F"/>
    <w:rsid w:val="00FE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C06F9-08A5-429A-A59A-7002421B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нак Знак9 Знак Знак Знак Знак Знак Знак Знак Знак Знак Знак Знак Знак Знак Знак Знак Знак Знак Знак"/>
    <w:basedOn w:val="a"/>
    <w:rsid w:val="00AB5AFF"/>
    <w:pPr>
      <w:suppressAutoHyphens w:val="0"/>
      <w:spacing w:before="100" w:beforeAutospacing="1" w:after="100" w:afterAutospacing="1"/>
    </w:pPr>
    <w:rPr>
      <w:rFonts w:ascii="Tahoma" w:hAnsi="Tahoma"/>
      <w:sz w:val="20"/>
      <w:szCs w:val="20"/>
      <w:lang w:val="en-US" w:eastAsia="en-US"/>
    </w:rPr>
  </w:style>
  <w:style w:type="table" w:styleId="a3">
    <w:name w:val="Table Grid"/>
    <w:basedOn w:val="a1"/>
    <w:uiPriority w:val="59"/>
    <w:rsid w:val="00F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663BDA"/>
  </w:style>
  <w:style w:type="paragraph" w:styleId="a4">
    <w:name w:val="Body Text"/>
    <w:basedOn w:val="a"/>
    <w:link w:val="a5"/>
    <w:rsid w:val="005D52B9"/>
    <w:pPr>
      <w:spacing w:after="120"/>
    </w:pPr>
  </w:style>
  <w:style w:type="character" w:customStyle="1" w:styleId="a5">
    <w:name w:val="Основной текст Знак"/>
    <w:basedOn w:val="a0"/>
    <w:link w:val="a4"/>
    <w:rsid w:val="005D52B9"/>
    <w:rPr>
      <w:rFonts w:ascii="Times New Roman" w:eastAsia="Times New Roman" w:hAnsi="Times New Roman" w:cs="Times New Roman"/>
      <w:sz w:val="24"/>
      <w:szCs w:val="24"/>
      <w:lang w:eastAsia="ar-SA"/>
    </w:rPr>
  </w:style>
  <w:style w:type="paragraph" w:styleId="a6">
    <w:name w:val="No Spacing"/>
    <w:uiPriority w:val="1"/>
    <w:qFormat/>
    <w:rsid w:val="00096B42"/>
    <w:pPr>
      <w:spacing w:after="0" w:line="240" w:lineRule="auto"/>
    </w:pPr>
    <w:rPr>
      <w:rFonts w:ascii="Times New Roman" w:eastAsia="Times New Roman" w:hAnsi="Times New Roman" w:cs="Times New Roman"/>
      <w:sz w:val="24"/>
      <w:szCs w:val="24"/>
      <w:lang w:eastAsia="ru-RU"/>
    </w:rPr>
  </w:style>
  <w:style w:type="character" w:customStyle="1" w:styleId="markedcontent">
    <w:name w:val="markedcontent"/>
    <w:rsid w:val="006E3928"/>
  </w:style>
  <w:style w:type="paragraph" w:styleId="a7">
    <w:name w:val="List Paragraph"/>
    <w:basedOn w:val="a"/>
    <w:uiPriority w:val="34"/>
    <w:qFormat/>
    <w:rsid w:val="00313465"/>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4673">
      <w:bodyDiv w:val="1"/>
      <w:marLeft w:val="0"/>
      <w:marRight w:val="0"/>
      <w:marTop w:val="0"/>
      <w:marBottom w:val="0"/>
      <w:divBdr>
        <w:top w:val="none" w:sz="0" w:space="0" w:color="auto"/>
        <w:left w:val="none" w:sz="0" w:space="0" w:color="auto"/>
        <w:bottom w:val="none" w:sz="0" w:space="0" w:color="auto"/>
        <w:right w:val="none" w:sz="0" w:space="0" w:color="auto"/>
      </w:divBdr>
    </w:div>
    <w:div w:id="370422748">
      <w:bodyDiv w:val="1"/>
      <w:marLeft w:val="0"/>
      <w:marRight w:val="0"/>
      <w:marTop w:val="0"/>
      <w:marBottom w:val="0"/>
      <w:divBdr>
        <w:top w:val="none" w:sz="0" w:space="0" w:color="auto"/>
        <w:left w:val="none" w:sz="0" w:space="0" w:color="auto"/>
        <w:bottom w:val="none" w:sz="0" w:space="0" w:color="auto"/>
        <w:right w:val="none" w:sz="0" w:space="0" w:color="auto"/>
      </w:divBdr>
    </w:div>
    <w:div w:id="765879935">
      <w:bodyDiv w:val="1"/>
      <w:marLeft w:val="0"/>
      <w:marRight w:val="0"/>
      <w:marTop w:val="0"/>
      <w:marBottom w:val="0"/>
      <w:divBdr>
        <w:top w:val="none" w:sz="0" w:space="0" w:color="auto"/>
        <w:left w:val="none" w:sz="0" w:space="0" w:color="auto"/>
        <w:bottom w:val="none" w:sz="0" w:space="0" w:color="auto"/>
        <w:right w:val="none" w:sz="0" w:space="0" w:color="auto"/>
      </w:divBdr>
    </w:div>
    <w:div w:id="1237402526">
      <w:bodyDiv w:val="1"/>
      <w:marLeft w:val="0"/>
      <w:marRight w:val="0"/>
      <w:marTop w:val="0"/>
      <w:marBottom w:val="0"/>
      <w:divBdr>
        <w:top w:val="none" w:sz="0" w:space="0" w:color="auto"/>
        <w:left w:val="none" w:sz="0" w:space="0" w:color="auto"/>
        <w:bottom w:val="none" w:sz="0" w:space="0" w:color="auto"/>
        <w:right w:val="none" w:sz="0" w:space="0" w:color="auto"/>
      </w:divBdr>
    </w:div>
    <w:div w:id="1289361232">
      <w:bodyDiv w:val="1"/>
      <w:marLeft w:val="0"/>
      <w:marRight w:val="0"/>
      <w:marTop w:val="0"/>
      <w:marBottom w:val="0"/>
      <w:divBdr>
        <w:top w:val="none" w:sz="0" w:space="0" w:color="auto"/>
        <w:left w:val="none" w:sz="0" w:space="0" w:color="auto"/>
        <w:bottom w:val="none" w:sz="0" w:space="0" w:color="auto"/>
        <w:right w:val="none" w:sz="0" w:space="0" w:color="auto"/>
      </w:divBdr>
    </w:div>
    <w:div w:id="1421021738">
      <w:bodyDiv w:val="1"/>
      <w:marLeft w:val="0"/>
      <w:marRight w:val="0"/>
      <w:marTop w:val="0"/>
      <w:marBottom w:val="0"/>
      <w:divBdr>
        <w:top w:val="none" w:sz="0" w:space="0" w:color="auto"/>
        <w:left w:val="none" w:sz="0" w:space="0" w:color="auto"/>
        <w:bottom w:val="none" w:sz="0" w:space="0" w:color="auto"/>
        <w:right w:val="none" w:sz="0" w:space="0" w:color="auto"/>
      </w:divBdr>
    </w:div>
    <w:div w:id="1712731924">
      <w:bodyDiv w:val="1"/>
      <w:marLeft w:val="0"/>
      <w:marRight w:val="0"/>
      <w:marTop w:val="0"/>
      <w:marBottom w:val="0"/>
      <w:divBdr>
        <w:top w:val="none" w:sz="0" w:space="0" w:color="auto"/>
        <w:left w:val="none" w:sz="0" w:space="0" w:color="auto"/>
        <w:bottom w:val="none" w:sz="0" w:space="0" w:color="auto"/>
        <w:right w:val="none" w:sz="0" w:space="0" w:color="auto"/>
      </w:divBdr>
    </w:div>
    <w:div w:id="19396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E107-0F39-4B0A-90FB-541A451A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Французова А.В.</dc:creator>
  <cp:keywords/>
  <dc:description/>
  <cp:lastModifiedBy>Даценко Сергей Юрьевич</cp:lastModifiedBy>
  <cp:revision>2</cp:revision>
  <cp:lastPrinted>2019-12-25T09:02:00Z</cp:lastPrinted>
  <dcterms:created xsi:type="dcterms:W3CDTF">2023-04-14T03:39:00Z</dcterms:created>
  <dcterms:modified xsi:type="dcterms:W3CDTF">2023-04-14T03:39:00Z</dcterms:modified>
</cp:coreProperties>
</file>