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82" w:rsidRDefault="0058443F" w:rsidP="0058443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8443F">
        <w:rPr>
          <w:rFonts w:ascii="Times New Roman" w:hAnsi="Times New Roman" w:cs="Times New Roman"/>
        </w:rPr>
        <w:t>ТЕХНИЧЕСКОЕ ЗАДАНИЕ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8"/>
        <w:gridCol w:w="992"/>
        <w:gridCol w:w="1134"/>
      </w:tblGrid>
      <w:tr w:rsidR="0058443F" w:rsidRPr="007C2276" w:rsidTr="005E12D8">
        <w:trPr>
          <w:trHeight w:val="57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7C2276" w:rsidRDefault="0058443F" w:rsidP="005E12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b/>
                <w:lang w:eastAsia="ru-RU"/>
              </w:rPr>
              <w:t>Общие требования, предъявляемые к качеству, безопасности, упаковке, маркировке, транспортированию и хранению изделий, а также к техническим и функциональным характеристикам работ</w:t>
            </w:r>
          </w:p>
        </w:tc>
      </w:tr>
      <w:tr w:rsidR="0058443F" w:rsidRPr="007C2276" w:rsidTr="005E12D8">
        <w:trPr>
          <w:trHeight w:val="57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Для выполнения функций по обеспечению протезом верхней конечности в части описания функциональных и технических характеристик, заказчик руководствовался рекомендациями индивидуальных программ реабилитации или абилитации инвалида, разработанными федеральными учреждениями медико-социальной экспертизы, с учетом антропометрических и социаль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>но бытовых особенностей получателя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, содержащие технические решения, в том числе специальные, используемые для компенсации или устранения стойких ограничений жизнедеяте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>льности получателя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Выполняемые работы по обеспечению протезом должны содержать комплекс медицинских, технических и социальных мероприятий проводимых с 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>получателем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, имеющим нарушения и (или) дефекты опорно-двигательного аппарата, в целях восстановления или компенсации ограничений его жизнедеятельности.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Приемная гильза протеза конечности должна изготавливаться по индивидуальному параметру 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>получателя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и предназначаться для размещения в нем культи или пораженной конечности, обеспечивая взаимодействие человека с протезом конечности.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Функциональный узел протеза конечности должен выполнять заданную функцию и иметь конструктивно-технологическую завершенность.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Согласно ГОСТ Р 51632-2021 «Технические средства реабилитации людей с ограничениями жизнедеятельности. Общие технические требования и методы испытаний» протез должен обладать достаточной прочностью и износостойкостью, чтобы выдержать все без исключения нагрузки, которые следует описать в процессе предусмотренного использования. Протез, подвергшийся в процессе эксплуатации резкому изменению температуры внешней среды, должен сохранять работоспособность.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Протез должен отвечать требованиям </w:t>
            </w:r>
            <w:r w:rsidR="00554736"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ГОСТ Р 51819-2022  «Протезирование и ортезирование верхних и нижних конечно</w:t>
            </w:r>
            <w:r w:rsidR="00554736"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стей. Термины и определения», 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ГОСТ Р 56138-2021 «Протезы верхних конечностей. Технические требования»,  ГОСТ Р 59226-2020  «Протезы верхних конечностей с внешним источником энергии. Общие технические требования».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В соответствии с ГОСТ Р ИСО 22523-2007 «Протезы конечностей и протезы наружные. Требования и методы испытаний» заданные характеристики прочности и долговечности протезного или ортопедического устройства должны быть указаны в технических документах, которые устанавливают их функциональные характеристики и условия применения.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Согласно ГОСТ ISO 10993-1-2021 «Изделия медицинские. Оценка биологического действия медицинских изделий. Часть 1. Оценка и исследования в процессе менеджмента риска»,  ГОСТ ISO 10993-5-2011 «Изделия медицинские. Оценка биологического действия медицинских изделий. Часть 5. Исследования на цитотоксичность: методы in vitro», ГОСТ ISO 10993-10-2011 «Изделия медицинские. Оценка биологического действия медицинских изделий. Часть 10. Исследования раздражающего и сенсибилизирующего действия»  выбор и оценка материалов, которые будут контактировать с тканями организма человека, требуют системного подхода, при котором характеристики всех материалов, входящих в конечный продукт, будут учтены при общей оценке качества разработки изделия.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При выборе материалов для изготовления изделия необходимо учитывать их соответствие назначению изделия по их химическим, токсикологическим, физическим, электрическим, морфологическим и механическим свойствам, а также условия, вид, степень, частоту и продолжительность контакта изделия или его частей с организмом человека.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Работы по обеспечению протезом следует считать эффективно исполненными, если у 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>поучателя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восстановлена опорная и двигательная функции конечности, созданы условия для предупреждения развития деформации или благоприятного течения болезни. Работы по обеспечению 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получателя 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протезом должны быть выполнены с надлежащим качеством и в установленные сроки.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Гарантийный срок должен составлять не менее 36 месяцев от даты подписания Акта сдачи-приемки работ Получателем.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В течение гарантийного срока все расходы, связанные с текущим обслуживанием, ремонтом и заменой (в случае невозможности ремонта) Изделия, несет Подрядчик.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Срок службы Изделия должен быть не менее срока пользования, установленного приказом Министерства труда и социальной защиты Российской Федерации от 05.03.2021 г. № 107н  «Об утверждении сроков пользования техническими средствами реабилитации, протезами и протезно-ортопедическими изделиями».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lastRenderedPageBreak/>
              <w:t>Сро</w:t>
            </w:r>
            <w:r w:rsidR="009234FC"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к выполнения работ - не более 60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 календарных дней со дня получения Подрядчиком реестра Получателей Изделий.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Требования к маркировке, упаковке и отгрузке протезов.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Согласно  ГОСТ Р ИСО 22523-2007 «Протезы конечностей и протезы наружные. Требования и методы испытаний» протез должен иметь этикетку. На этикетке должны быть указаны ссылки на соответствующие стандарт(ы) и/или технический(ие) документ(ы), а также условия нагружения и/или уровни нагрузки, применяемые при испытаниях. При необходимости, на этикетке должна быть приведена информация о диапазонах или ограничениях при назначенном применении протеза.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Упаковка протеза должна обеспечивать защиту от повреждений, порчи (изнашивания) или загрязнения во время хранения и транспортировки к месту использования  по назначению, а также от воздействия механических и климатических факторов во время транспортирования и хранения ТСР.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Согласно ГОСТ Р 51632-2021 «Технические средства реабилитации людей с ограничениями жизнедеятельности. Общие технические требования и методы испытаний» если нет других указаний изготовителя, то ТСР в упаковке для транспортирования и хранения должны в течение не менее 15 недель выдерживать воздействие следующих факторов окружающей среды: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- температура окружающей среды от минус 40 °C до плюс 70 °C;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- относительная влажность от 10% до 100%, включая конденсацию;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- атмосферное давление от 500 до 1060 гПа.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Проведение индивидуального обмера, примерка, выдача готового изделия  производятся по месту жительства получателя в Рязанской области либо по месту нахождения Подрядчика в Российской Федерации (по выбору Получателя). 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Местом выполнения работ является место нахождения Подрядчика в Российской Федерации.</w:t>
            </w:r>
          </w:p>
          <w:p w:rsidR="0058443F" w:rsidRPr="00D96C7D" w:rsidRDefault="0058443F" w:rsidP="005E12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>Порядок и срок выполнения работ: работы по изготовлению протеза  осущес</w:t>
            </w:r>
            <w:r w:rsidR="009234FC" w:rsidRPr="00D96C7D">
              <w:rPr>
                <w:rFonts w:ascii="Times New Roman" w:eastAsia="Arial" w:hAnsi="Times New Roman" w:cs="Times New Roman"/>
                <w:bCs/>
                <w:lang w:eastAsia="ru-RU"/>
              </w:rPr>
              <w:t>твляются Подрядчиком не более 60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 календарных дней со дня получения Подрядчиком реестра Получателей Изделий.</w:t>
            </w:r>
          </w:p>
          <w:p w:rsidR="0058443F" w:rsidRPr="00D96C7D" w:rsidRDefault="0058443F" w:rsidP="005E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          Срок выполнения работ по контракту: с момента заключения контракта </w:t>
            </w:r>
            <w:r w:rsidR="00CE4C69">
              <w:rPr>
                <w:rFonts w:ascii="Times New Roman" w:eastAsia="Arial" w:hAnsi="Times New Roman" w:cs="Times New Roman"/>
                <w:bCs/>
                <w:lang w:eastAsia="ru-RU"/>
              </w:rPr>
              <w:t>по 30.06.2024</w:t>
            </w:r>
            <w:r w:rsidRPr="00D96C7D">
              <w:rPr>
                <w:rFonts w:ascii="Times New Roman" w:eastAsia="Arial" w:hAnsi="Times New Roman" w:cs="Times New Roman"/>
                <w:bCs/>
                <w:lang w:eastAsia="ru-RU"/>
              </w:rPr>
              <w:t xml:space="preserve"> года.</w:t>
            </w:r>
          </w:p>
        </w:tc>
      </w:tr>
      <w:tr w:rsidR="0058443F" w:rsidRPr="007C2276" w:rsidTr="00DF61F1">
        <w:trPr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7C2276" w:rsidRDefault="0058443F" w:rsidP="005E12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изделия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3F" w:rsidRPr="007C2276" w:rsidRDefault="0058443F" w:rsidP="005E12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lang w:eastAsia="ru-RU"/>
              </w:rPr>
              <w:t>Описание изделия</w:t>
            </w:r>
          </w:p>
          <w:p w:rsidR="0058443F" w:rsidRPr="007C2276" w:rsidRDefault="0058443F" w:rsidP="005E12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7C2276" w:rsidRDefault="0058443F" w:rsidP="005E12D8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lang w:eastAsia="ru-RU"/>
              </w:rPr>
              <w:t>Кол-во,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D96C7D" w:rsidRDefault="0058443F" w:rsidP="005E12D8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C7D">
              <w:rPr>
                <w:rFonts w:ascii="Times New Roman" w:eastAsia="Times New Roman" w:hAnsi="Times New Roman" w:cs="Times New Roman"/>
                <w:lang w:eastAsia="ru-RU"/>
              </w:rPr>
              <w:t>Гарантийный срок (мес.)</w:t>
            </w:r>
          </w:p>
        </w:tc>
      </w:tr>
      <w:tr w:rsidR="0058443F" w:rsidRPr="007C2276" w:rsidTr="00DF61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7C2276" w:rsidRDefault="0058443F" w:rsidP="005E12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lang w:eastAsia="ru-RU"/>
              </w:rPr>
              <w:t>8-04-02.</w:t>
            </w:r>
          </w:p>
          <w:p w:rsidR="0058443F" w:rsidRPr="007C2276" w:rsidRDefault="0058443F" w:rsidP="005E12D8">
            <w:pPr>
              <w:spacing w:after="160" w:line="254" w:lineRule="auto"/>
              <w:ind w:left="-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2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Протез предплечья с микропроцессорным управлением</w:t>
            </w:r>
          </w:p>
          <w:p w:rsidR="0058443F" w:rsidRPr="007C2276" w:rsidRDefault="0058443F" w:rsidP="005E12D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58443F" w:rsidRDefault="002D777C" w:rsidP="0058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77C">
              <w:rPr>
                <w:rFonts w:ascii="Times New Roman" w:eastAsia="Times New Roman" w:hAnsi="Times New Roman" w:cs="Times New Roman"/>
                <w:lang w:eastAsia="ru-RU"/>
              </w:rPr>
              <w:t>Приемная гильза протеза должна изготавливаться по индивидуальному гипсовому слепку из слоистого пластика на основе акриловых смол.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Искусственная кисть 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должна быть с 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многоосной кинематикой, естественным внешним видом и небольшим весом. Кисть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должна быть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с микропроце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>ссорным управлением обеспечивающим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свободу движений в трех плоскостях. Главный приводящий механизм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должен регулировать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сгибательные движения и силу захвата. Активно задействованными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должны быть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большой, указательный и средний пальцы, безымянный палец и мизинец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должны пассивно следовать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вместе с ними. Активное управление большим пальцем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должно быть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в двух плоскостях 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позвол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>ять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7 типов схватов. Кисть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должна легко отсоединяться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Овальный лучезапястный сустав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должен иметь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естественный вид. Сгибание и разгибание 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>должно осуществляться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в позиции расслабленной кисти.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Должна быть </w:t>
            </w:r>
            <w:r w:rsidR="0058443F" w:rsidRPr="006101B1"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возможность пассивного движения сгибания и разгибания. </w:t>
            </w:r>
            <w:r w:rsidR="006101B1" w:rsidRPr="006101B1">
              <w:rPr>
                <w:rFonts w:ascii="Times New Roman" w:eastAsia="Times New Roman" w:hAnsi="Times New Roman" w:cs="Times New Roman"/>
                <w:lang w:eastAsia="ru-RU"/>
              </w:rPr>
              <w:t>Форма пальцев должна быть максимально приближена к их естественному виду.</w:t>
            </w:r>
            <w:r w:rsidR="00B108D9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r w:rsidR="0058443F" w:rsidRPr="006101B1">
              <w:rPr>
                <w:rFonts w:ascii="Times New Roman" w:eastAsia="Times New Roman" w:hAnsi="Times New Roman" w:cs="Times New Roman"/>
                <w:lang w:eastAsia="ru-RU"/>
              </w:rPr>
              <w:t>ольшой палец</w:t>
            </w:r>
            <w:r w:rsidR="00B108D9">
              <w:rPr>
                <w:rFonts w:ascii="Times New Roman" w:eastAsia="Times New Roman" w:hAnsi="Times New Roman" w:cs="Times New Roman"/>
                <w:lang w:eastAsia="ru-RU"/>
              </w:rPr>
              <w:t xml:space="preserve"> должен быть независимым</w:t>
            </w:r>
            <w:r w:rsidR="0058443F" w:rsidRPr="006101B1">
              <w:rPr>
                <w:rFonts w:ascii="Times New Roman" w:eastAsia="Times New Roman" w:hAnsi="Times New Roman" w:cs="Times New Roman"/>
                <w:lang w:eastAsia="ru-RU"/>
              </w:rPr>
              <w:t xml:space="preserve">. Приводной механизм большого пальца </w:t>
            </w:r>
            <w:r w:rsidRPr="006101B1">
              <w:rPr>
                <w:rFonts w:ascii="Times New Roman" w:eastAsia="Times New Roman" w:hAnsi="Times New Roman" w:cs="Times New Roman"/>
                <w:lang w:eastAsia="ru-RU"/>
              </w:rPr>
              <w:t xml:space="preserve"> должен делать</w:t>
            </w:r>
            <w:r w:rsidR="0058443F" w:rsidRPr="006101B1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возможным в общей сложности</w:t>
            </w:r>
            <w:r w:rsidR="004F6AA3" w:rsidRPr="006101B1">
              <w:rPr>
                <w:rFonts w:ascii="Times New Roman" w:eastAsia="Times New Roman" w:hAnsi="Times New Roman" w:cs="Times New Roman"/>
                <w:lang w:eastAsia="ru-RU"/>
              </w:rPr>
              <w:t xml:space="preserve"> до не более</w:t>
            </w:r>
            <w:r w:rsidR="0058443F" w:rsidRPr="002D777C">
              <w:rPr>
                <w:rFonts w:ascii="Times New Roman" w:eastAsia="Times New Roman" w:hAnsi="Times New Roman" w:cs="Times New Roman"/>
                <w:lang w:eastAsia="ru-RU"/>
              </w:rPr>
              <w:t xml:space="preserve"> 7 различных позиций кисти. Движение пальца наружу должно</w:t>
            </w:r>
            <w:r w:rsidR="0058443F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возможность для полного распрямления кисти. </w:t>
            </w:r>
            <w:r w:rsidR="004F6AA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учезапястный шарнир</w:t>
            </w:r>
            <w:r w:rsidR="004F6AA3">
              <w:rPr>
                <w:rFonts w:ascii="Times New Roman" w:eastAsia="Times New Roman" w:hAnsi="Times New Roman" w:cs="Times New Roman"/>
                <w:lang w:eastAsia="ru-RU"/>
              </w:rPr>
              <w:t xml:space="preserve"> должен быть подвижным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F6AA3">
              <w:rPr>
                <w:rFonts w:ascii="Times New Roman" w:eastAsia="Times New Roman" w:hAnsi="Times New Roman" w:cs="Times New Roman"/>
                <w:lang w:eastAsia="ru-RU"/>
              </w:rPr>
              <w:t xml:space="preserve"> Должна быть к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нопка блокировки на лучезапястном шарнире</w:t>
            </w:r>
            <w:r w:rsidR="004F6AA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108D9">
              <w:rPr>
                <w:rFonts w:ascii="Times New Roman" w:eastAsia="Times New Roman" w:hAnsi="Times New Roman" w:cs="Times New Roman"/>
                <w:lang w:eastAsia="ru-RU"/>
              </w:rPr>
              <w:t>Должна быть с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истема активного поворота запястья</w:t>
            </w:r>
            <w:r w:rsidR="00B108D9">
              <w:rPr>
                <w:rFonts w:ascii="Times New Roman" w:eastAsia="Times New Roman" w:hAnsi="Times New Roman" w:cs="Times New Roman"/>
                <w:lang w:eastAsia="ru-RU"/>
              </w:rPr>
              <w:t xml:space="preserve"> (на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AA3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160°</w:t>
            </w:r>
            <w:r w:rsidR="00B108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8443F" w:rsidRPr="0058443F" w:rsidRDefault="00BF4827" w:rsidP="0058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Протез должен иметь следующие т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ехнические характеристики:</w:t>
            </w:r>
          </w:p>
          <w:p w:rsidR="0058443F" w:rsidRPr="0058443F" w:rsidRDefault="00831A1E" w:rsidP="0058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вес кисти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– не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520 гр;</w:t>
            </w:r>
          </w:p>
          <w:p w:rsidR="0058443F" w:rsidRPr="0058443F" w:rsidRDefault="00831A1E" w:rsidP="0058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рабочее напряжение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8148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11,1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8443F" w:rsidRPr="0058443F" w:rsidRDefault="00831A1E" w:rsidP="0058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 xml:space="preserve"> максимальная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ширина раскрытия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кисти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>120 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8443F" w:rsidRPr="0058443F" w:rsidRDefault="00831A1E" w:rsidP="00584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 xml:space="preserve"> максимальная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скорость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 xml:space="preserve"> открытия кисти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– не менее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325 мм/с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8443F" w:rsidRPr="007C2276" w:rsidRDefault="00831A1E" w:rsidP="00BF4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м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аксимальный угол сгибания 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– не менее</w:t>
            </w:r>
            <w:r w:rsidR="0058443F" w:rsidRPr="0058443F">
              <w:rPr>
                <w:rFonts w:ascii="Times New Roman" w:eastAsia="Times New Roman" w:hAnsi="Times New Roman" w:cs="Times New Roman"/>
                <w:lang w:eastAsia="ru-RU"/>
              </w:rPr>
              <w:t xml:space="preserve"> 130°</w:t>
            </w:r>
            <w:r w:rsidR="00BF48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7C2276" w:rsidRDefault="0058443F" w:rsidP="005E12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3F" w:rsidRPr="007C2276" w:rsidRDefault="0058443F" w:rsidP="005E12D8">
            <w:pPr>
              <w:tabs>
                <w:tab w:val="left" w:pos="70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276">
              <w:rPr>
                <w:rFonts w:ascii="Times New Roman" w:eastAsia="Times New Roman" w:hAnsi="Times New Roman" w:cs="Times New Roman"/>
                <w:lang w:eastAsia="ru-RU"/>
              </w:rPr>
              <w:t>Не менее 36</w:t>
            </w:r>
          </w:p>
        </w:tc>
      </w:tr>
    </w:tbl>
    <w:p w:rsidR="0058443F" w:rsidRPr="0058443F" w:rsidRDefault="0058443F" w:rsidP="0058443F">
      <w:pPr>
        <w:jc w:val="center"/>
        <w:rPr>
          <w:rFonts w:ascii="Times New Roman" w:hAnsi="Times New Roman" w:cs="Times New Roman"/>
        </w:rPr>
      </w:pPr>
    </w:p>
    <w:sectPr w:rsidR="0058443F" w:rsidRPr="0058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66"/>
    <w:rsid w:val="002D777C"/>
    <w:rsid w:val="00441F82"/>
    <w:rsid w:val="004F6AA3"/>
    <w:rsid w:val="00554736"/>
    <w:rsid w:val="0058443F"/>
    <w:rsid w:val="006101B1"/>
    <w:rsid w:val="00664BFB"/>
    <w:rsid w:val="008148FB"/>
    <w:rsid w:val="00831A1E"/>
    <w:rsid w:val="009234FC"/>
    <w:rsid w:val="00A23A7D"/>
    <w:rsid w:val="00B108D9"/>
    <w:rsid w:val="00BF4827"/>
    <w:rsid w:val="00C0037E"/>
    <w:rsid w:val="00CE4C69"/>
    <w:rsid w:val="00D962D2"/>
    <w:rsid w:val="00D96C7D"/>
    <w:rsid w:val="00DE1D7C"/>
    <w:rsid w:val="00DF61F1"/>
    <w:rsid w:val="00E053FB"/>
    <w:rsid w:val="00F56366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Ена Ирина Александровна</dc:creator>
  <cp:lastModifiedBy>Назарова Марина Вадимовна</cp:lastModifiedBy>
  <cp:revision>2</cp:revision>
  <cp:lastPrinted>2023-05-24T13:43:00Z</cp:lastPrinted>
  <dcterms:created xsi:type="dcterms:W3CDTF">2023-09-28T09:12:00Z</dcterms:created>
  <dcterms:modified xsi:type="dcterms:W3CDTF">2023-09-28T09:12:00Z</dcterms:modified>
</cp:coreProperties>
</file>