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7B0DFC" w:rsidRDefault="00B956E3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7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индивидуальному </w:t>
      </w:r>
      <w:r w:rsidRPr="0078487E">
        <w:rPr>
          <w:rFonts w:ascii="Times New Roman" w:eastAsia="Times New Roman" w:hAnsi="Times New Roman"/>
          <w:sz w:val="24"/>
          <w:szCs w:val="24"/>
          <w:lang w:eastAsia="ru-RU"/>
        </w:rPr>
        <w:t>изготовлению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модульных </w:t>
      </w:r>
      <w:r w:rsidRPr="004D09A2">
        <w:rPr>
          <w:rFonts w:ascii="Times New Roman" w:eastAsia="Times New Roman" w:hAnsi="Times New Roman"/>
          <w:sz w:val="24"/>
          <w:szCs w:val="24"/>
          <w:lang w:eastAsia="ru-RU"/>
        </w:rPr>
        <w:t>протез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бедра </w:t>
      </w:r>
      <w:r w:rsidRPr="0078487E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56E3" w:rsidRPr="00F60BD8" w:rsidRDefault="00B956E3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B956E3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B956E3" w:rsidRPr="00B9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модульных протезов бедра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70"/>
        <w:gridCol w:w="6737"/>
        <w:gridCol w:w="966"/>
      </w:tblGrid>
      <w:tr w:rsidR="00B956E3" w:rsidRPr="00B956E3" w:rsidTr="00B956E3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B956E3" w:rsidRPr="00B956E3" w:rsidRDefault="00B956E3" w:rsidP="00B95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03" w:type="pct"/>
            <w:vAlign w:val="center"/>
          </w:tcPr>
          <w:p w:rsidR="00B956E3" w:rsidRPr="00B956E3" w:rsidRDefault="00B956E3" w:rsidP="00B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265" w:type="pct"/>
            <w:shd w:val="clear" w:color="auto" w:fill="auto"/>
            <w:vAlign w:val="center"/>
          </w:tcPr>
          <w:p w:rsidR="00B956E3" w:rsidRPr="00B956E3" w:rsidRDefault="00B956E3" w:rsidP="00B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68" w:type="pct"/>
          </w:tcPr>
          <w:p w:rsidR="00B956E3" w:rsidRPr="00B956E3" w:rsidRDefault="00B956E3" w:rsidP="00B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B956E3" w:rsidRPr="00B956E3" w:rsidTr="00B956E3">
        <w:trPr>
          <w:jc w:val="center"/>
        </w:trPr>
        <w:tc>
          <w:tcPr>
            <w:tcW w:w="264" w:type="pct"/>
            <w:shd w:val="clear" w:color="auto" w:fill="auto"/>
          </w:tcPr>
          <w:p w:rsidR="00B956E3" w:rsidRPr="00B956E3" w:rsidRDefault="00B956E3" w:rsidP="00B9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3" w:type="pct"/>
          </w:tcPr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углом сгибания коленного шарнира 170 градусов)</w:t>
            </w: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бедра модульный, в том числе при врожденном недоразвитии, </w:t>
            </w: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иметь: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приемную гильзу индивидуального изготовленная по слепку с культи получателя (одна пробная гильза) из литьевого слоистого пластика на основе акриловых смол с армированием углерукавом;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мягкостенную внутреннюю гильзу из вспененного полимера;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коленный шарнир многоосный с пневматическим управлением фазой переноса, с раздельной регулировкой сопротивлений сгибания и разгибания для индивидуальной настройки скорости ходьбы, с углом сгибания 170 градусов, с высокой подкосоустойчивостью за счет полицентрической кинематики и выноса оси;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углепластиковую, состоящую из соединенных сдвоенных пружинных элементов, обеспечивающих естественную походку, снижающих нагрузку на здоровую конечность;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формообразующую часть косметической облицовки модульную из вспененного пенополиуретана.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Косметическое покрытие облицовки должно быть в виде ортопедических чулок телесного цвета.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протеза должно быть вакуумно-мышечное с дополнительным креплением с использование бедренного бандажа. </w:t>
            </w:r>
          </w:p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- не менее 24 месяцев с даты передачи протеза получателю</w:t>
            </w:r>
          </w:p>
        </w:tc>
        <w:tc>
          <w:tcPr>
            <w:tcW w:w="468" w:type="pct"/>
          </w:tcPr>
          <w:p w:rsidR="00B956E3" w:rsidRPr="00B956E3" w:rsidRDefault="00B956E3" w:rsidP="00B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E3" w:rsidRPr="00B956E3" w:rsidTr="00B956E3">
        <w:trPr>
          <w:jc w:val="center"/>
        </w:trPr>
        <w:tc>
          <w:tcPr>
            <w:tcW w:w="264" w:type="pct"/>
            <w:shd w:val="clear" w:color="auto" w:fill="auto"/>
          </w:tcPr>
          <w:p w:rsidR="00B956E3" w:rsidRPr="00B956E3" w:rsidRDefault="00B956E3" w:rsidP="00B9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3" w:type="pct"/>
          </w:tcPr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углом сгибания коленного шарнира 150 градусов)</w:t>
            </w: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B956E3" w:rsidRPr="00B956E3" w:rsidRDefault="00B956E3" w:rsidP="00B9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недоразвитии, должен иметь: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приёмную гильзу индивидуального изготовления по слепку с культи получателя (одна пробная гильза) из литьевого слоистого пластика на основе акриловых смол с армированием углерукавом;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вкладной элемент - чехол полимерный, крепление чехла к протезу должно осуществляется с использованием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гильзе;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коленный шарнир многоосный с пневматическим управлением фазой переноса, с раздельной регулировкой сопротивлений сгибания и разгибания, индивидуальной настройкой скорости ходьбы, с углом сгибания 150 градусов, с высокой подкосоустойчивостью за счет полицентрической кинематики и выноса оси;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стопу углепластиковую, состоящую из соединенных сдвоенных пружинных элементов, обеспечивающих естественную походку и снижение нагрузки на здоровую конечность;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поворотное регулировочно-соединительного устройство, обеспечивающее поворот согнутой в колене искусственной голени относительно гильзы бедра (для обеспечения самообслуживания пациента);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формообразующую часть косметической облицовки модульную из вспененного пенополиуретана.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Косметическое покрытие облицовки должно быть в виде перлоновых чулок.  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B956E3" w:rsidRPr="00B956E3" w:rsidRDefault="00B956E3" w:rsidP="00B956E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- не менее 24 месяцев с даты передачи протеза получателю</w:t>
            </w:r>
          </w:p>
        </w:tc>
        <w:tc>
          <w:tcPr>
            <w:tcW w:w="468" w:type="pct"/>
          </w:tcPr>
          <w:p w:rsidR="00B956E3" w:rsidRPr="00B956E3" w:rsidRDefault="00B956E3" w:rsidP="00B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956E3" w:rsidRPr="00B956E3" w:rsidTr="00B956E3">
        <w:trPr>
          <w:jc w:val="center"/>
        </w:trPr>
        <w:tc>
          <w:tcPr>
            <w:tcW w:w="264" w:type="pct"/>
            <w:shd w:val="clear" w:color="auto" w:fill="auto"/>
          </w:tcPr>
          <w:p w:rsidR="00B956E3" w:rsidRPr="00B956E3" w:rsidRDefault="00B956E3" w:rsidP="00B9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</w:tcPr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B956E3" w:rsidRPr="00B956E3" w:rsidRDefault="00B956E3" w:rsidP="00B9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B956E3" w:rsidRPr="00B956E3" w:rsidRDefault="00B956E3" w:rsidP="00B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B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9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27375C" w:rsidRPr="0027375C" w:rsidRDefault="0027375C" w:rsidP="0027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27375C" w:rsidRPr="0027375C" w:rsidRDefault="0027375C" w:rsidP="0027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5C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27375C" w:rsidP="0027375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5C">
              <w:rPr>
                <w:rFonts w:ascii="Times New Roman" w:eastAsia="Calibri" w:hAnsi="Times New Roman" w:cs="Times New Roman"/>
                <w:sz w:val="24"/>
                <w:szCs w:val="24"/>
              </w:rPr>
              <w:t>- ГОСТ Р 51191-2019 «Узлы протезов нижних конечностей. Технические требования и методы испытаний»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6C53B7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41" w:rsidRDefault="00525941">
      <w:pPr>
        <w:spacing w:after="0" w:line="240" w:lineRule="auto"/>
      </w:pPr>
      <w:r>
        <w:separator/>
      </w:r>
    </w:p>
  </w:endnote>
  <w:endnote w:type="continuationSeparator" w:id="0">
    <w:p w:rsidR="00525941" w:rsidRDefault="0052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41" w:rsidRDefault="00525941">
      <w:pPr>
        <w:spacing w:after="0" w:line="240" w:lineRule="auto"/>
      </w:pPr>
      <w:r>
        <w:separator/>
      </w:r>
    </w:p>
  </w:footnote>
  <w:footnote w:type="continuationSeparator" w:id="0">
    <w:p w:rsidR="00525941" w:rsidRDefault="0052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375C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19CD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19E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617"/>
    <w:rsid w:val="004F6A0B"/>
    <w:rsid w:val="005041DC"/>
    <w:rsid w:val="005071BE"/>
    <w:rsid w:val="0051316C"/>
    <w:rsid w:val="00517075"/>
    <w:rsid w:val="00517C57"/>
    <w:rsid w:val="00525941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0DFC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C7090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956E3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34F8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DE0E-A99A-43F4-AD96-B2ADA634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cp:lastPrinted>2018-12-26T14:17:00Z</cp:lastPrinted>
  <dcterms:created xsi:type="dcterms:W3CDTF">2022-11-03T12:42:00Z</dcterms:created>
  <dcterms:modified xsi:type="dcterms:W3CDTF">2022-11-03T12:43:00Z</dcterms:modified>
</cp:coreProperties>
</file>