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 xml:space="preserve">выполнение работ по изготовлению протезов нижних конечностей </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A1169E">
        <w:rPr>
          <w:rFonts w:ascii="Times New Roman" w:hAnsi="Times New Roman" w:cs="Times New Roman"/>
          <w:b/>
          <w:sz w:val="24"/>
        </w:rPr>
        <w:t>3</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FC5755"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Default="00943A14" w:rsidP="00943A14">
      <w:pPr>
        <w:pStyle w:val="Standard"/>
        <w:tabs>
          <w:tab w:val="left" w:pos="0"/>
        </w:tabs>
        <w:ind w:right="-229"/>
        <w:rPr>
          <w:rFonts w:ascii="Times New Roman" w:hAnsi="Times New Roman" w:cs="Times New Roman"/>
          <w:sz w:val="24"/>
        </w:rPr>
      </w:pPr>
      <w:r>
        <w:rPr>
          <w:rFonts w:ascii="Times New Roman" w:hAnsi="Times New Roman" w:cs="Times New Roman"/>
          <w:b/>
          <w:sz w:val="24"/>
        </w:rPr>
        <w:t>1.</w:t>
      </w:r>
      <w:r w:rsidR="00A1169E">
        <w:rPr>
          <w:rFonts w:ascii="Times New Roman" w:hAnsi="Times New Roman" w:cs="Times New Roman"/>
          <w:b/>
          <w:sz w:val="24"/>
        </w:rPr>
        <w:t>4</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A12E46">
        <w:rPr>
          <w:rFonts w:ascii="Times New Roman" w:hAnsi="Times New Roman" w:cs="Times New Roman"/>
          <w:sz w:val="24"/>
        </w:rPr>
        <w:t>0</w:t>
      </w:r>
      <w:r w:rsidR="008505CF">
        <w:rPr>
          <w:rFonts w:ascii="Times New Roman" w:hAnsi="Times New Roman" w:cs="Times New Roman"/>
          <w:sz w:val="24"/>
        </w:rPr>
        <w:t>1</w:t>
      </w:r>
      <w:r w:rsidR="00B61BE2">
        <w:rPr>
          <w:rFonts w:ascii="Times New Roman" w:hAnsi="Times New Roman" w:cs="Times New Roman"/>
          <w:sz w:val="24"/>
        </w:rPr>
        <w:t xml:space="preserve"> </w:t>
      </w:r>
      <w:r w:rsidR="00A12E46">
        <w:rPr>
          <w:rFonts w:ascii="Times New Roman" w:hAnsi="Times New Roman" w:cs="Times New Roman"/>
          <w:sz w:val="24"/>
        </w:rPr>
        <w:t>декабря</w:t>
      </w:r>
      <w:r w:rsidR="00B61BE2">
        <w:rPr>
          <w:rFonts w:ascii="Times New Roman" w:hAnsi="Times New Roman" w:cs="Times New Roman"/>
          <w:sz w:val="24"/>
        </w:rPr>
        <w:t xml:space="preserve"> </w:t>
      </w:r>
      <w:r w:rsidR="00A921B0" w:rsidRPr="00A921B0">
        <w:rPr>
          <w:rFonts w:ascii="Times New Roman" w:hAnsi="Times New Roman" w:cs="Times New Roman"/>
          <w:sz w:val="24"/>
        </w:rPr>
        <w:t>2023</w:t>
      </w:r>
      <w:r w:rsidR="00A31128">
        <w:rPr>
          <w:rFonts w:ascii="Times New Roman" w:hAnsi="Times New Roman" w:cs="Times New Roman"/>
          <w:sz w:val="24"/>
        </w:rPr>
        <w:t xml:space="preserve"> г</w:t>
      </w:r>
      <w:r w:rsidR="00A921B0" w:rsidRPr="00A921B0">
        <w:rPr>
          <w:rFonts w:ascii="Times New Roman" w:hAnsi="Times New Roman" w:cs="Times New Roman"/>
          <w:sz w:val="24"/>
        </w:rPr>
        <w:t>.</w:t>
      </w:r>
    </w:p>
    <w:p w:rsidR="00E93DCE" w:rsidRDefault="00943A14" w:rsidP="00A1169E">
      <w:pPr>
        <w:jc w:val="both"/>
        <w:rPr>
          <w:rFonts w:ascii="Times New Roman" w:hAnsi="Times New Roman" w:cs="Times New Roman"/>
          <w:sz w:val="24"/>
        </w:rPr>
      </w:pPr>
      <w:r w:rsidRPr="00943A14">
        <w:rPr>
          <w:rFonts w:ascii="Times New Roman" w:hAnsi="Times New Roman" w:cs="Times New Roman"/>
          <w:b/>
          <w:sz w:val="24"/>
        </w:rPr>
        <w:t>1.</w:t>
      </w:r>
      <w:r w:rsidR="00A1169E">
        <w:rPr>
          <w:rFonts w:ascii="Times New Roman" w:hAnsi="Times New Roman" w:cs="Times New Roman"/>
          <w:b/>
          <w:sz w:val="24"/>
        </w:rPr>
        <w:t>5</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Pr>
          <w:rFonts w:ascii="Times New Roman" w:eastAsia="Arial" w:hAnsi="Times New Roman" w:cs="Times New Roman"/>
          <w:kern w:val="1"/>
          <w:sz w:val="24"/>
          <w:lang w:eastAsia="ar-SA" w:bidi="ar-SA"/>
        </w:rPr>
        <w:t>ов (далее – Получатели)</w:t>
      </w:r>
      <w:r w:rsidRPr="00B61BE2">
        <w:rPr>
          <w:rFonts w:ascii="Times New Roman" w:eastAsia="Arial" w:hAnsi="Times New Roman" w:cs="Times New Roman"/>
          <w:kern w:val="1"/>
          <w:sz w:val="24"/>
          <w:lang w:eastAsia="ar-SA" w:bidi="ar-SA"/>
        </w:rPr>
        <w:t xml:space="preserve"> протезами нижних конечностей предусматривают индивидуальное изготовление,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5D60D1" w:rsidRPr="006122D6" w:rsidTr="00E25183">
        <w:trPr>
          <w:trHeight w:val="791"/>
        </w:trPr>
        <w:tc>
          <w:tcPr>
            <w:tcW w:w="507" w:type="dxa"/>
          </w:tcPr>
          <w:p w:rsidR="005D60D1"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D60D1" w:rsidRPr="006122D6" w:rsidRDefault="005D60D1" w:rsidP="00A12E4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5D60D1" w:rsidRPr="006122D6" w:rsidRDefault="005D60D1" w:rsidP="008F10A6">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работ</w:t>
            </w:r>
          </w:p>
        </w:tc>
      </w:tr>
      <w:tr w:rsidR="005D60D1" w:rsidRPr="006122D6" w:rsidTr="00E25183">
        <w:trPr>
          <w:trHeight w:val="286"/>
        </w:trPr>
        <w:tc>
          <w:tcPr>
            <w:tcW w:w="507" w:type="dxa"/>
            <w:tcBorders>
              <w:left w:val="single" w:sz="1" w:space="0" w:color="000000"/>
            </w:tcBorders>
          </w:tcPr>
          <w:p w:rsidR="005D60D1" w:rsidRPr="008F10A6" w:rsidRDefault="00A7096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tcPr>
          <w:p w:rsidR="00A12E46"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голени для купания</w:t>
            </w:r>
          </w:p>
          <w:p w:rsidR="00535B91"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5B91" w:rsidRPr="006122D6" w:rsidRDefault="00535B91"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8-07-04</w:t>
            </w:r>
          </w:p>
        </w:tc>
        <w:tc>
          <w:tcPr>
            <w:tcW w:w="7512" w:type="dxa"/>
            <w:tcBorders>
              <w:left w:val="single" w:sz="1" w:space="0" w:color="000000"/>
            </w:tcBorders>
          </w:tcPr>
          <w:p w:rsidR="005D60D1" w:rsidRPr="006122D6" w:rsidRDefault="00535B91" w:rsidP="005D60D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Протез голени для купания, модульный, должен быть с несущей приемной гильзой, индивидуального изготовления по слепку, из слоистого пластика. Силиконовый лайнер должен быть с замковым креплением, или допускается изготовление без силиконового лайнера с креплением за счет формы гильзы и полимерного наколенника. Стопа должна быть влагозащищенная с повышенной упругостью в носочной части, с противоскользящим эффектом. Полуфабрикаты и регулировочно-соединительные устройства должны быть рассчитаны на нагрузку до 150 кг. Протез может быть с немодульной косметической облицовкой из слоистого пластика или без косметической облицовки.</w:t>
            </w:r>
          </w:p>
        </w:tc>
      </w:tr>
      <w:tr w:rsidR="005D60D1" w:rsidRPr="006122D6" w:rsidTr="00A12E46">
        <w:trPr>
          <w:trHeight w:val="286"/>
        </w:trPr>
        <w:tc>
          <w:tcPr>
            <w:tcW w:w="507" w:type="dxa"/>
            <w:tcBorders>
              <w:left w:val="single" w:sz="1" w:space="0" w:color="000000"/>
            </w:tcBorders>
          </w:tcPr>
          <w:p w:rsidR="005D60D1" w:rsidRPr="008F10A6" w:rsidRDefault="005D60D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tcPr>
          <w:p w:rsidR="00A12E46"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бедра для купания</w:t>
            </w:r>
          </w:p>
          <w:p w:rsidR="00535B91"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35B91" w:rsidRPr="008F10A6" w:rsidRDefault="00535B91"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8-07-05</w:t>
            </w:r>
          </w:p>
        </w:tc>
        <w:tc>
          <w:tcPr>
            <w:tcW w:w="7512" w:type="dxa"/>
            <w:tcBorders>
              <w:left w:val="single" w:sz="1" w:space="0" w:color="000000"/>
            </w:tcBorders>
          </w:tcPr>
          <w:p w:rsidR="005D60D1" w:rsidRPr="008F10A6" w:rsidRDefault="00535B91" w:rsidP="00535B9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Протез бедра модульный для купания. Косметическая оболочка должна быть индивидуального изготовления. Приемная гильза должна быть индивидуальная по слепку. Материал индивидуальной постоянной гильзы: литьевой слоистый пластик на основе акриловых смол, листовой термопласт. В качестве вкладного элемента должен применяться полимерный</w:t>
            </w:r>
            <w:r>
              <w:t xml:space="preserve"> </w:t>
            </w:r>
            <w:r w:rsidRPr="00535B91">
              <w:rPr>
                <w:rFonts w:ascii="Times New Roman" w:eastAsia="Times New Roman" w:hAnsi="Times New Roman" w:cs="Times New Roman"/>
                <w:bCs/>
                <w:kern w:val="0"/>
                <w:sz w:val="24"/>
                <w:lang w:eastAsia="ru-RU" w:bidi="ar-SA"/>
              </w:rPr>
              <w:t xml:space="preserve">силиконовый чехол. Коленный шарнир должен быть водостойкий, моноцентрический гидравлический с фиксатором для дополнительной надежности в фазе опоры. Регулировочно-соединительные устройства должны быть влагозащищенные, титановые, соответствовать весу получателя. Стопа должна быть </w:t>
            </w:r>
            <w:proofErr w:type="spellStart"/>
            <w:r w:rsidRPr="00535B91">
              <w:rPr>
                <w:rFonts w:ascii="Times New Roman" w:eastAsia="Times New Roman" w:hAnsi="Times New Roman" w:cs="Times New Roman"/>
                <w:bCs/>
                <w:kern w:val="0"/>
                <w:sz w:val="24"/>
                <w:lang w:eastAsia="ru-RU" w:bidi="ar-SA"/>
              </w:rPr>
              <w:lastRenderedPageBreak/>
              <w:t>бесшарнирная</w:t>
            </w:r>
            <w:proofErr w:type="spellEnd"/>
            <w:r w:rsidRPr="00535B91">
              <w:rPr>
                <w:rFonts w:ascii="Times New Roman" w:eastAsia="Times New Roman" w:hAnsi="Times New Roman" w:cs="Times New Roman"/>
                <w:bCs/>
                <w:kern w:val="0"/>
                <w:sz w:val="24"/>
                <w:lang w:eastAsia="ru-RU" w:bidi="ar-SA"/>
              </w:rPr>
              <w:t>, монолитная, влагозащищенная полиуретановая, с эффектом присасывания к скользким и мокрым поверхностям, с возможностью безопасного передвижения на протезе без обуви. Косметическая облицовка должна быть модульная-</w:t>
            </w:r>
            <w:proofErr w:type="spellStart"/>
            <w:r w:rsidRPr="00535B91">
              <w:rPr>
                <w:rFonts w:ascii="Times New Roman" w:eastAsia="Times New Roman" w:hAnsi="Times New Roman" w:cs="Times New Roman"/>
                <w:bCs/>
                <w:kern w:val="0"/>
                <w:sz w:val="24"/>
                <w:lang w:eastAsia="ru-RU" w:bidi="ar-SA"/>
              </w:rPr>
              <w:t>пенополиуретан</w:t>
            </w:r>
            <w:proofErr w:type="spellEnd"/>
            <w:r w:rsidRPr="00535B91">
              <w:rPr>
                <w:rFonts w:ascii="Times New Roman" w:eastAsia="Times New Roman" w:hAnsi="Times New Roman" w:cs="Times New Roman"/>
                <w:bCs/>
                <w:kern w:val="0"/>
                <w:sz w:val="24"/>
                <w:lang w:eastAsia="ru-RU" w:bidi="ar-SA"/>
              </w:rPr>
              <w:t>. Все компоненты модульной системы должны быть водостойкие. Протез должен быть рассчитан для получателей с весом тела до 150 кг.</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Протез должен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 xml:space="preserve">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 xml:space="preserve">приемных </w:t>
      </w:r>
      <w:r w:rsidRPr="006122D6">
        <w:rPr>
          <w:rFonts w:ascii="Times New Roman" w:eastAsia="Times New Roman" w:hAnsi="Times New Roman" w:cs="Times New Roman"/>
          <w:kern w:val="0"/>
          <w:sz w:val="24"/>
          <w:lang w:eastAsia="ru-RU" w:bidi="ar-SA"/>
        </w:rPr>
        <w:t xml:space="preserve">гильз,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Pr>
          <w:rFonts w:ascii="Times New Roman" w:eastAsia="Times New Roman" w:hAnsi="Times New Roman" w:cs="Times New Roman"/>
          <w:kern w:val="0"/>
          <w:sz w:val="24"/>
          <w:lang w:eastAsia="ru-RU" w:bidi="ar-SA"/>
        </w:rPr>
        <w:t>пользователя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нем культи или пораженной конечности, обеспечивая взаимодействие человека с протезом конечности;</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функциональный узел протеза конечности должен выполнять заданную функцию и иметь конструктивно-технологическую завершенность</w:t>
      </w:r>
      <w:r w:rsidR="008F10A6">
        <w:rPr>
          <w:rFonts w:ascii="Times New Roman" w:eastAsia="Times New Roman" w:hAnsi="Times New Roman" w:cs="Times New Roman"/>
          <w:kern w:val="0"/>
          <w:sz w:val="24"/>
          <w:lang w:eastAsia="ru-RU" w:bidi="ar-SA"/>
        </w:rPr>
        <w:t>.</w:t>
      </w:r>
    </w:p>
    <w:p w:rsidR="008813E3"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CC4C04">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CC4C04">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Pr="006122D6">
        <w:rPr>
          <w:rFonts w:ascii="Times New Roman" w:eastAsia="Times New Roman" w:hAnsi="Times New Roman" w:cs="Times New Roman"/>
          <w:kern w:val="0"/>
          <w:sz w:val="24"/>
          <w:lang w:eastAsia="ru-RU" w:bidi="ar-SA"/>
        </w:rPr>
        <w:t xml:space="preserve"> Национальных стандартов </w:t>
      </w:r>
      <w:r w:rsidR="00535B91">
        <w:rPr>
          <w:rFonts w:ascii="Times New Roman" w:eastAsia="Times New Roman" w:hAnsi="Times New Roman" w:cs="Times New Roman"/>
          <w:kern w:val="0"/>
          <w:sz w:val="24"/>
          <w:lang w:eastAsia="ru-RU" w:bidi="ar-SA"/>
        </w:rPr>
        <w:t xml:space="preserve">Российской Федерации </w:t>
      </w:r>
      <w:r w:rsidR="00535B91" w:rsidRPr="00535B91">
        <w:rPr>
          <w:rFonts w:ascii="Times New Roman" w:eastAsia="Times New Roman" w:hAnsi="Times New Roman" w:cs="Times New Roman"/>
          <w:kern w:val="0"/>
          <w:sz w:val="24"/>
          <w:lang w:eastAsia="ru-RU" w:bidi="ar-SA"/>
        </w:rPr>
        <w:t>ГОСТ Р 51632-2021</w:t>
      </w:r>
      <w:r w:rsidR="005E537E">
        <w:rPr>
          <w:rFonts w:ascii="Times New Roman" w:eastAsia="Times New Roman" w:hAnsi="Times New Roman" w:cs="Times New Roman"/>
          <w:kern w:val="0"/>
          <w:sz w:val="24"/>
          <w:lang w:eastAsia="ru-RU" w:bidi="ar-SA"/>
        </w:rPr>
        <w:t xml:space="preserve"> «</w:t>
      </w:r>
      <w:r w:rsidR="00535B91" w:rsidRPr="00535B91">
        <w:rPr>
          <w:rFonts w:ascii="Times New Roman" w:eastAsia="Times New Roman" w:hAnsi="Times New Roman" w:cs="Times New Roman"/>
          <w:kern w:val="0"/>
          <w:sz w:val="24"/>
          <w:lang w:eastAsia="ru-RU" w:bidi="ar-SA"/>
        </w:rPr>
        <w:t>Технические средства реабилитации людей с ограничениями жизнедеятельности. Общие технические требования и методы испытаний</w:t>
      </w:r>
      <w:r w:rsidR="005E537E">
        <w:rPr>
          <w:rFonts w:ascii="Times New Roman" w:eastAsia="Times New Roman" w:hAnsi="Times New Roman" w:cs="Times New Roman"/>
          <w:kern w:val="0"/>
          <w:sz w:val="24"/>
          <w:lang w:eastAsia="ru-RU" w:bidi="ar-SA"/>
        </w:rPr>
        <w:t>»,</w:t>
      </w:r>
      <w:r w:rsidR="00535B91" w:rsidRPr="00535B91">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 xml:space="preserve">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Pr="006122D6">
        <w:rPr>
          <w:rFonts w:ascii="Times New Roman" w:eastAsia="Times New Roman" w:hAnsi="Times New Roman" w:cs="Times New Roman"/>
          <w:kern w:val="0"/>
          <w:sz w:val="24"/>
          <w:lang w:eastAsia="ru-RU" w:bidi="ar-SA"/>
        </w:rPr>
        <w:t>ортезы</w:t>
      </w:r>
      <w:proofErr w:type="spellEnd"/>
      <w:r w:rsidRPr="006122D6">
        <w:rPr>
          <w:rFonts w:ascii="Times New Roman" w:eastAsia="Times New Roman" w:hAnsi="Times New Roman" w:cs="Times New Roman"/>
          <w:kern w:val="0"/>
          <w:sz w:val="24"/>
          <w:lang w:eastAsia="ru-RU" w:bidi="ar-SA"/>
        </w:rPr>
        <w:t xml:space="preserve"> наружные. Требования и методы испытаний»; </w:t>
      </w:r>
      <w:r w:rsidR="008813E3" w:rsidRPr="008813E3">
        <w:rPr>
          <w:rFonts w:ascii="Times New Roman" w:eastAsia="Times New Roman" w:hAnsi="Times New Roman" w:cs="Times New Roman"/>
          <w:kern w:val="0"/>
          <w:sz w:val="24"/>
          <w:lang w:eastAsia="ru-RU" w:bidi="ar-SA"/>
        </w:rPr>
        <w:t>ГОСТ Р 51819-2022</w:t>
      </w:r>
      <w:r w:rsidR="008813E3">
        <w:rPr>
          <w:rFonts w:ascii="Times New Roman" w:eastAsia="Times New Roman" w:hAnsi="Times New Roman" w:cs="Times New Roman"/>
          <w:kern w:val="0"/>
          <w:sz w:val="24"/>
          <w:lang w:eastAsia="ru-RU" w:bidi="ar-SA"/>
        </w:rPr>
        <w:t xml:space="preserve"> «Прот</w:t>
      </w:r>
      <w:r w:rsidR="008813E3" w:rsidRPr="008813E3">
        <w:rPr>
          <w:rFonts w:ascii="Times New Roman" w:eastAsia="Times New Roman" w:hAnsi="Times New Roman" w:cs="Times New Roman"/>
          <w:kern w:val="0"/>
          <w:sz w:val="24"/>
          <w:lang w:eastAsia="ru-RU" w:bidi="ar-SA"/>
        </w:rPr>
        <w:t xml:space="preserve">езирование и </w:t>
      </w:r>
      <w:proofErr w:type="spellStart"/>
      <w:r w:rsidR="008813E3" w:rsidRPr="008813E3">
        <w:rPr>
          <w:rFonts w:ascii="Times New Roman" w:eastAsia="Times New Roman" w:hAnsi="Times New Roman" w:cs="Times New Roman"/>
          <w:kern w:val="0"/>
          <w:sz w:val="24"/>
          <w:lang w:eastAsia="ru-RU" w:bidi="ar-SA"/>
        </w:rPr>
        <w:t>ортезирование</w:t>
      </w:r>
      <w:proofErr w:type="spellEnd"/>
      <w:r w:rsidR="008813E3" w:rsidRPr="008813E3">
        <w:rPr>
          <w:rFonts w:ascii="Times New Roman" w:eastAsia="Times New Roman" w:hAnsi="Times New Roman" w:cs="Times New Roman"/>
          <w:kern w:val="0"/>
          <w:sz w:val="24"/>
          <w:lang w:eastAsia="ru-RU" w:bidi="ar-SA"/>
        </w:rPr>
        <w:t xml:space="preserve"> верхних и нижних кон</w:t>
      </w:r>
      <w:r w:rsidR="008813E3">
        <w:rPr>
          <w:rFonts w:ascii="Times New Roman" w:eastAsia="Times New Roman" w:hAnsi="Times New Roman" w:cs="Times New Roman"/>
          <w:kern w:val="0"/>
          <w:sz w:val="24"/>
          <w:lang w:eastAsia="ru-RU" w:bidi="ar-SA"/>
        </w:rPr>
        <w:t xml:space="preserve">ечностей. Термины и определения», </w:t>
      </w:r>
      <w:r w:rsidR="008813E3" w:rsidRPr="008813E3">
        <w:rPr>
          <w:rFonts w:ascii="Times New Roman" w:eastAsia="Times New Roman" w:hAnsi="Times New Roman" w:cs="Times New Roman"/>
          <w:kern w:val="0"/>
          <w:sz w:val="24"/>
          <w:lang w:eastAsia="ru-RU" w:bidi="ar-SA"/>
        </w:rPr>
        <w:t xml:space="preserve">ГОСТ Р 53870-2021 </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Реабилитационные мероприятия. Услуги по протезированию нижних конечностей. Состав, содержание и порядок предоставления услуг</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ГОСТ Р 52876-2021</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Услуги организаций реабилитации инвалидов вследствие боевых действий и военной травмы. Основные положения</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 xml:space="preserve">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Pr="006122D6">
        <w:rPr>
          <w:rFonts w:ascii="Times New Roman" w:eastAsia="Times New Roman" w:hAnsi="Times New Roman" w:cs="Times New Roman"/>
          <w:kern w:val="0"/>
          <w:sz w:val="24"/>
          <w:lang w:eastAsia="ru-RU" w:bidi="ar-SA"/>
        </w:rPr>
        <w:t>цитотоксичность</w:t>
      </w:r>
      <w:proofErr w:type="spellEnd"/>
      <w:r w:rsidRPr="006122D6">
        <w:rPr>
          <w:rFonts w:ascii="Times New Roman" w:eastAsia="Times New Roman" w:hAnsi="Times New Roman" w:cs="Times New Roman"/>
          <w:kern w:val="0"/>
          <w:sz w:val="24"/>
          <w:lang w:eastAsia="ru-RU" w:bidi="ar-SA"/>
        </w:rPr>
        <w:t xml:space="preserve">: методы </w:t>
      </w:r>
      <w:r w:rsidRPr="006122D6">
        <w:rPr>
          <w:rFonts w:ascii="Times New Roman" w:eastAsia="Times New Roman" w:hAnsi="Times New Roman" w:cs="Times New Roman"/>
          <w:kern w:val="0"/>
          <w:sz w:val="24"/>
          <w:lang w:val="en-US" w:eastAsia="ru-RU" w:bidi="ar-SA"/>
        </w:rPr>
        <w:t>in</w:t>
      </w:r>
      <w:r w:rsidRPr="006122D6">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val="en-US" w:eastAsia="ru-RU" w:bidi="ar-SA"/>
        </w:rPr>
        <w:t>vitro</w:t>
      </w:r>
      <w:r w:rsidRPr="006122D6">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764999"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bookmarkStart w:id="0" w:name="_GoBack"/>
      <w:bookmarkEnd w:id="0"/>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lastRenderedPageBreak/>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Гарантийный срок на Изделия устанавливается со дня выдачи готовых Изделий Получателю.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дающий Получателю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w:t>
      </w:r>
      <w:r>
        <w:rPr>
          <w:rFonts w:ascii="Times New Roman" w:eastAsia="Times New Roman" w:hAnsi="Times New Roman" w:cs="Times New Roman"/>
          <w:kern w:val="0"/>
          <w:sz w:val="24"/>
          <w:lang w:eastAsia="x-none" w:bidi="ar-SA"/>
        </w:rPr>
        <w:t>П</w:t>
      </w:r>
      <w:r w:rsidRPr="00764999">
        <w:rPr>
          <w:rFonts w:ascii="Times New Roman" w:eastAsia="Times New Roman" w:hAnsi="Times New Roman" w:cs="Times New Roman"/>
          <w:kern w:val="0"/>
          <w:sz w:val="24"/>
          <w:lang w:eastAsia="x-none" w:bidi="ar-SA"/>
        </w:rPr>
        <w:t>олучателя по указанному адресу с подъемом на этаж.</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764999">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764999" w:rsidRPr="00764999" w:rsidRDefault="00764999" w:rsidP="00764999">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BC7088" w:rsidRDefault="00764999"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764999">
        <w:rPr>
          <w:rFonts w:ascii="Times New Roman" w:eastAsia="Times New Roman" w:hAnsi="Times New Roman" w:cs="Times New Roman"/>
          <w:kern w:val="0"/>
          <w:sz w:val="24"/>
          <w:lang w:val="x-none" w:eastAsia="x-none" w:bidi="ar-SA"/>
        </w:rPr>
        <w:t>Срок выполнения гарантийного ремонта (замены) не должен превышать 20 дней со дня обращения Получателя (Заказчика) к Исполнителю</w:t>
      </w:r>
      <w:r w:rsidRPr="00764999">
        <w:rPr>
          <w:rFonts w:ascii="Times New Roman" w:eastAsia="Times New Roman" w:hAnsi="Times New Roman" w:cs="Times New Roman"/>
          <w:kern w:val="0"/>
          <w:sz w:val="24"/>
          <w:lang w:eastAsia="x-none" w:bidi="ar-SA"/>
        </w:rPr>
        <w:t>.</w:t>
      </w:r>
    </w:p>
    <w:p w:rsidR="0018493A" w:rsidRPr="0018493A" w:rsidRDefault="009100FB"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lastRenderedPageBreak/>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55EBC"/>
    <w:rsid w:val="0007522B"/>
    <w:rsid w:val="00076745"/>
    <w:rsid w:val="00090D1C"/>
    <w:rsid w:val="000A5991"/>
    <w:rsid w:val="000B69ED"/>
    <w:rsid w:val="000F490E"/>
    <w:rsid w:val="00111851"/>
    <w:rsid w:val="00122B3C"/>
    <w:rsid w:val="00153AD4"/>
    <w:rsid w:val="00157E2C"/>
    <w:rsid w:val="0016116C"/>
    <w:rsid w:val="001716BE"/>
    <w:rsid w:val="0017270F"/>
    <w:rsid w:val="00172A78"/>
    <w:rsid w:val="0018493A"/>
    <w:rsid w:val="00185505"/>
    <w:rsid w:val="00186CBB"/>
    <w:rsid w:val="001874CA"/>
    <w:rsid w:val="001933ED"/>
    <w:rsid w:val="001A4AF8"/>
    <w:rsid w:val="001B412C"/>
    <w:rsid w:val="001D2CA5"/>
    <w:rsid w:val="001D659D"/>
    <w:rsid w:val="001E40B2"/>
    <w:rsid w:val="001F27F8"/>
    <w:rsid w:val="00231304"/>
    <w:rsid w:val="00233BD5"/>
    <w:rsid w:val="00237A34"/>
    <w:rsid w:val="0026081D"/>
    <w:rsid w:val="002748B7"/>
    <w:rsid w:val="00277718"/>
    <w:rsid w:val="002C05D8"/>
    <w:rsid w:val="002C3B9A"/>
    <w:rsid w:val="002D7A96"/>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B0437"/>
    <w:rsid w:val="004B174C"/>
    <w:rsid w:val="004C0E4B"/>
    <w:rsid w:val="004C1132"/>
    <w:rsid w:val="004E1870"/>
    <w:rsid w:val="00510337"/>
    <w:rsid w:val="0051765D"/>
    <w:rsid w:val="00535B91"/>
    <w:rsid w:val="0054117A"/>
    <w:rsid w:val="0054690C"/>
    <w:rsid w:val="00555D6D"/>
    <w:rsid w:val="00563E8C"/>
    <w:rsid w:val="005708AB"/>
    <w:rsid w:val="005918B2"/>
    <w:rsid w:val="005B5C13"/>
    <w:rsid w:val="005B5CEC"/>
    <w:rsid w:val="005D60D1"/>
    <w:rsid w:val="005E537E"/>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35C46"/>
    <w:rsid w:val="00752B5D"/>
    <w:rsid w:val="007619E1"/>
    <w:rsid w:val="00764999"/>
    <w:rsid w:val="00786DBB"/>
    <w:rsid w:val="007E7838"/>
    <w:rsid w:val="007F5D9F"/>
    <w:rsid w:val="00817968"/>
    <w:rsid w:val="00820995"/>
    <w:rsid w:val="00822020"/>
    <w:rsid w:val="0082469A"/>
    <w:rsid w:val="008505CF"/>
    <w:rsid w:val="00850B08"/>
    <w:rsid w:val="00851A30"/>
    <w:rsid w:val="008748F9"/>
    <w:rsid w:val="008813E3"/>
    <w:rsid w:val="008A081A"/>
    <w:rsid w:val="008A35B4"/>
    <w:rsid w:val="008B1D85"/>
    <w:rsid w:val="008C00D5"/>
    <w:rsid w:val="008C4B58"/>
    <w:rsid w:val="008F10A6"/>
    <w:rsid w:val="008F1D6D"/>
    <w:rsid w:val="00901FD9"/>
    <w:rsid w:val="009100FB"/>
    <w:rsid w:val="00913392"/>
    <w:rsid w:val="0093125C"/>
    <w:rsid w:val="009432E3"/>
    <w:rsid w:val="00943A14"/>
    <w:rsid w:val="00982558"/>
    <w:rsid w:val="00982F8C"/>
    <w:rsid w:val="009B0AB7"/>
    <w:rsid w:val="009B5D74"/>
    <w:rsid w:val="009C24F6"/>
    <w:rsid w:val="00A1169E"/>
    <w:rsid w:val="00A12CBD"/>
    <w:rsid w:val="00A12E46"/>
    <w:rsid w:val="00A211C9"/>
    <w:rsid w:val="00A31128"/>
    <w:rsid w:val="00A32058"/>
    <w:rsid w:val="00A410D4"/>
    <w:rsid w:val="00A41603"/>
    <w:rsid w:val="00A5518F"/>
    <w:rsid w:val="00A70960"/>
    <w:rsid w:val="00A71B01"/>
    <w:rsid w:val="00A921B0"/>
    <w:rsid w:val="00AD0E98"/>
    <w:rsid w:val="00AF5564"/>
    <w:rsid w:val="00B01EAD"/>
    <w:rsid w:val="00B342A5"/>
    <w:rsid w:val="00B61BE2"/>
    <w:rsid w:val="00B73B28"/>
    <w:rsid w:val="00B8029D"/>
    <w:rsid w:val="00BA2457"/>
    <w:rsid w:val="00BB2891"/>
    <w:rsid w:val="00BB58F0"/>
    <w:rsid w:val="00BE7CDD"/>
    <w:rsid w:val="00BF4C18"/>
    <w:rsid w:val="00BF5A0B"/>
    <w:rsid w:val="00C01C1F"/>
    <w:rsid w:val="00C06C01"/>
    <w:rsid w:val="00C10D1D"/>
    <w:rsid w:val="00C37AEE"/>
    <w:rsid w:val="00C456FF"/>
    <w:rsid w:val="00C45C86"/>
    <w:rsid w:val="00C6156E"/>
    <w:rsid w:val="00C66C27"/>
    <w:rsid w:val="00C67613"/>
    <w:rsid w:val="00C84615"/>
    <w:rsid w:val="00CA1D7D"/>
    <w:rsid w:val="00CA5600"/>
    <w:rsid w:val="00CC4C04"/>
    <w:rsid w:val="00CE1094"/>
    <w:rsid w:val="00CF120C"/>
    <w:rsid w:val="00D071AC"/>
    <w:rsid w:val="00D14566"/>
    <w:rsid w:val="00D212E1"/>
    <w:rsid w:val="00D344AC"/>
    <w:rsid w:val="00D533C6"/>
    <w:rsid w:val="00D61752"/>
    <w:rsid w:val="00D7365B"/>
    <w:rsid w:val="00D97217"/>
    <w:rsid w:val="00DB24A6"/>
    <w:rsid w:val="00DB706A"/>
    <w:rsid w:val="00DD5F9B"/>
    <w:rsid w:val="00DE186D"/>
    <w:rsid w:val="00E05163"/>
    <w:rsid w:val="00E1131F"/>
    <w:rsid w:val="00E212A5"/>
    <w:rsid w:val="00E25183"/>
    <w:rsid w:val="00E5364A"/>
    <w:rsid w:val="00E545FC"/>
    <w:rsid w:val="00E80156"/>
    <w:rsid w:val="00E93DCE"/>
    <w:rsid w:val="00EB0FE7"/>
    <w:rsid w:val="00EC15B2"/>
    <w:rsid w:val="00F30D4D"/>
    <w:rsid w:val="00F41B52"/>
    <w:rsid w:val="00F46699"/>
    <w:rsid w:val="00F52A30"/>
    <w:rsid w:val="00F6764B"/>
    <w:rsid w:val="00F700A7"/>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7B7B-988E-4ADD-9371-5D1DA64B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125</cp:revision>
  <cp:lastPrinted>2023-04-10T22:55:00Z</cp:lastPrinted>
  <dcterms:created xsi:type="dcterms:W3CDTF">2022-02-07T06:16:00Z</dcterms:created>
  <dcterms:modified xsi:type="dcterms:W3CDTF">2023-09-22T06:45:00Z</dcterms:modified>
</cp:coreProperties>
</file>