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5 785</w:t>
      </w:r>
      <w:r w:rsidR="00B217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Анальный тампон (средство ухода при недержании кала)</w:t>
      </w:r>
      <w:r w:rsidR="00D5071F"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2 705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071F" w:rsidRDefault="00D5071F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32.50.13.190-00006915 - Анальный тампон (средство ухода при недержании кала)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013275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Анальный тампон из вспененного полиуретана, покрытый растворимой пленкой, со шнуром для удаления тампона из хлопка имеет форму и размер анальной свечи. Размер большой 45 мм или маленький  37 мм (в зависимости от индивидуальных потребностей инвалида), (в соответствии с п. 3.47  ГОСТ </w:t>
      </w:r>
      <w:proofErr w:type="gramStart"/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Адгезивная пластина плоская для </w:t>
      </w:r>
      <w:proofErr w:type="gramStart"/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двухкомпонентного</w:t>
      </w:r>
      <w:proofErr w:type="gramEnd"/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дренируемого уроприемника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700 штук</w:t>
      </w:r>
      <w:r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Адгезивная плоская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 соответствующим фланцу мешка. Размер (диаметр) фланца в диапазоне не менее 38 мм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P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Уростомный мешок для </w:t>
      </w:r>
      <w:proofErr w:type="gramStart"/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двухкомпонентного</w:t>
      </w:r>
      <w:proofErr w:type="gramEnd"/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дренируемого уроприемника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2 250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пластины. Размер (диаметр) фланца в диапазоне не менее 38 мм и не более 60 мм включительно (не менее 2-х типоразмеров (конкретный размер  определяется с учетом индивидуальной потребности инвалида)) (в соответствие с п. 3.15 ГОСТ </w:t>
      </w:r>
      <w:proofErr w:type="gramStart"/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58235-2018).</w:t>
      </w:r>
    </w:p>
    <w:p w:rsidR="00D5071F" w:rsidRPr="00D5071F" w:rsidRDefault="00D5071F" w:rsidP="00B2178B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Катетер мочеточниковый для уретерокутанеостомы</w:t>
      </w:r>
      <w:r w:rsidRPr="00D507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130 штук</w:t>
      </w: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071F" w:rsidRP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Одноходовый безбаллонный урологический  катетер, используется для отведения мочи через уретерокутанеостому, прямого типа или J типа (с петлей на почечном кончике), круглый или овальный фланец для крепления к коже, с отверстиями на конце. Катетер изготовлен из полимерного материала. Длина катетера составляет не менее 40 см.,</w:t>
      </w:r>
    </w:p>
    <w:p w:rsidR="00D5071F" w:rsidRDefault="00D5071F" w:rsidP="00D5071F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071F">
        <w:rPr>
          <w:rFonts w:ascii="Times New Roman" w:eastAsia="Times New Roman" w:hAnsi="Times New Roman" w:cs="Times New Roman"/>
          <w:sz w:val="26"/>
          <w:szCs w:val="26"/>
          <w:lang w:eastAsia="ar-SA"/>
        </w:rPr>
        <w:t>Катетер имеет следующие размеры: Ch 8, 10, 12, 14, 16 (конкретный размер  определяется  с учетом индивидуальной потребности получателя). Катетер стерилен и находиться в индивидуальной упаковке, (в соответствии с п. 3.41  ГОСТ Р 58235-2018).</w:t>
      </w:r>
      <w:bookmarkStart w:id="0" w:name="_GoBack"/>
      <w:bookmarkEnd w:id="0"/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33B00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10AB7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90378"/>
    <w:rsid w:val="00AB74C0"/>
    <w:rsid w:val="00AC7F94"/>
    <w:rsid w:val="00AF1E34"/>
    <w:rsid w:val="00AF365F"/>
    <w:rsid w:val="00B2178B"/>
    <w:rsid w:val="00B67302"/>
    <w:rsid w:val="00B74B31"/>
    <w:rsid w:val="00B76DFD"/>
    <w:rsid w:val="00BC69C3"/>
    <w:rsid w:val="00BD3B6A"/>
    <w:rsid w:val="00CA57CB"/>
    <w:rsid w:val="00CF0FB2"/>
    <w:rsid w:val="00CF7832"/>
    <w:rsid w:val="00D22FA6"/>
    <w:rsid w:val="00D5071F"/>
    <w:rsid w:val="00D87625"/>
    <w:rsid w:val="00D9068C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357</cp:revision>
  <dcterms:created xsi:type="dcterms:W3CDTF">2022-06-23T03:07:00Z</dcterms:created>
  <dcterms:modified xsi:type="dcterms:W3CDTF">2022-12-06T04:59:00Z</dcterms:modified>
</cp:coreProperties>
</file>