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EB55FD" w:rsidRDefault="00EB55FD" w:rsidP="00465986">
      <w:pPr>
        <w:keepLines/>
        <w:widowControl w:val="0"/>
        <w:autoSpaceDE w:val="0"/>
        <w:autoSpaceDN w:val="0"/>
        <w:adjustRightInd w:val="0"/>
        <w:jc w:val="center"/>
        <w:rPr>
          <w:b/>
        </w:rPr>
      </w:pPr>
    </w:p>
    <w:p w:rsidR="00560C19" w:rsidRPr="00D6112F" w:rsidRDefault="00D6112F" w:rsidP="00560C19">
      <w:pPr>
        <w:keepLines/>
        <w:widowControl w:val="0"/>
        <w:autoSpaceDE w:val="0"/>
        <w:autoSpaceDN w:val="0"/>
        <w:adjustRightInd w:val="0"/>
        <w:jc w:val="center"/>
        <w:rPr>
          <w:b/>
        </w:rPr>
      </w:pPr>
      <w:r w:rsidRPr="00D6112F">
        <w:rPr>
          <w:b/>
        </w:rPr>
        <w:t>Выполнение работ по обеспечению инвалидов Краснодарского края протезами для купания в 2022 году</w:t>
      </w:r>
    </w:p>
    <w:p w:rsidR="00560C19" w:rsidRPr="000D352A" w:rsidRDefault="00560C19" w:rsidP="00560C19">
      <w:pPr>
        <w:keepLines/>
        <w:widowControl w:val="0"/>
        <w:autoSpaceDE w:val="0"/>
        <w:autoSpaceDN w:val="0"/>
        <w:adjustRightInd w:val="0"/>
        <w:jc w:val="center"/>
      </w:pPr>
    </w:p>
    <w:tbl>
      <w:tblPr>
        <w:tblStyle w:val="a6"/>
        <w:tblW w:w="5000" w:type="pct"/>
        <w:tblLayout w:type="fixed"/>
        <w:tblLook w:val="04A0" w:firstRow="1" w:lastRow="0" w:firstColumn="1" w:lastColumn="0" w:noHBand="0" w:noVBand="1"/>
      </w:tblPr>
      <w:tblGrid>
        <w:gridCol w:w="703"/>
        <w:gridCol w:w="2162"/>
        <w:gridCol w:w="7045"/>
        <w:gridCol w:w="1084"/>
        <w:gridCol w:w="940"/>
        <w:gridCol w:w="1477"/>
        <w:gridCol w:w="1604"/>
      </w:tblGrid>
      <w:tr w:rsidR="00130D56" w:rsidRPr="000D352A" w:rsidTr="00BB3C8F">
        <w:tc>
          <w:tcPr>
            <w:tcW w:w="234" w:type="pct"/>
          </w:tcPr>
          <w:p w:rsidR="00D0295C" w:rsidRPr="000D352A" w:rsidRDefault="00D0295C" w:rsidP="00130D56">
            <w:pPr>
              <w:keepLines/>
              <w:widowControl w:val="0"/>
              <w:jc w:val="center"/>
            </w:pPr>
            <w:r w:rsidRPr="000D352A">
              <w:t>№ п/п</w:t>
            </w:r>
          </w:p>
        </w:tc>
        <w:tc>
          <w:tcPr>
            <w:tcW w:w="720" w:type="pct"/>
          </w:tcPr>
          <w:p w:rsidR="00D0295C" w:rsidRPr="000D352A" w:rsidRDefault="00D0295C" w:rsidP="00130D56">
            <w:pPr>
              <w:keepLines/>
              <w:widowControl w:val="0"/>
              <w:jc w:val="center"/>
            </w:pPr>
            <w:r w:rsidRPr="000D352A">
              <w:t>Наименование товара, работ, услуг</w:t>
            </w:r>
          </w:p>
        </w:tc>
        <w:tc>
          <w:tcPr>
            <w:tcW w:w="2346" w:type="pct"/>
          </w:tcPr>
          <w:p w:rsidR="00D0295C" w:rsidRPr="000D352A" w:rsidRDefault="00D0295C" w:rsidP="00130D56">
            <w:pPr>
              <w:keepLines/>
              <w:widowControl w:val="0"/>
              <w:jc w:val="center"/>
            </w:pPr>
            <w:r w:rsidRPr="000D352A">
              <w:t>Описание объекта закупки</w:t>
            </w:r>
          </w:p>
        </w:tc>
        <w:tc>
          <w:tcPr>
            <w:tcW w:w="360" w:type="pct"/>
          </w:tcPr>
          <w:p w:rsidR="00D0295C" w:rsidRPr="000D352A" w:rsidRDefault="00D0295C" w:rsidP="00130D56">
            <w:pPr>
              <w:keepLines/>
              <w:widowControl w:val="0"/>
              <w:jc w:val="center"/>
            </w:pPr>
            <w:r w:rsidRPr="000D352A">
              <w:t>Кол-во (объем)</w:t>
            </w:r>
          </w:p>
        </w:tc>
        <w:tc>
          <w:tcPr>
            <w:tcW w:w="313" w:type="pct"/>
          </w:tcPr>
          <w:p w:rsidR="00D0295C" w:rsidRPr="000D352A" w:rsidRDefault="00D0295C" w:rsidP="00130D56">
            <w:pPr>
              <w:keepLines/>
              <w:widowControl w:val="0"/>
              <w:jc w:val="center"/>
            </w:pPr>
            <w:r w:rsidRPr="000D352A">
              <w:t>Ед. изм.</w:t>
            </w:r>
          </w:p>
        </w:tc>
        <w:tc>
          <w:tcPr>
            <w:tcW w:w="492" w:type="pct"/>
          </w:tcPr>
          <w:p w:rsidR="00D0295C" w:rsidRPr="000D352A" w:rsidRDefault="00D0295C" w:rsidP="00130D56">
            <w:pPr>
              <w:keepLines/>
              <w:widowControl w:val="0"/>
              <w:jc w:val="center"/>
            </w:pPr>
            <w:r w:rsidRPr="000D352A">
              <w:t>Цена за ед. изм.</w:t>
            </w:r>
            <w:r w:rsidRPr="000D352A">
              <w:rPr>
                <w:rStyle w:val="ae"/>
              </w:rPr>
              <w:footnoteReference w:id="1"/>
            </w:r>
            <w:r w:rsidRPr="000D352A">
              <w:t>, руб.</w:t>
            </w:r>
          </w:p>
        </w:tc>
        <w:tc>
          <w:tcPr>
            <w:tcW w:w="535" w:type="pct"/>
          </w:tcPr>
          <w:p w:rsidR="00D0295C" w:rsidRPr="000D352A" w:rsidRDefault="00D0295C" w:rsidP="00130D56">
            <w:pPr>
              <w:keepLines/>
              <w:widowControl w:val="0"/>
              <w:jc w:val="center"/>
            </w:pPr>
            <w:r w:rsidRPr="000D352A">
              <w:t>Цена по позиции</w:t>
            </w:r>
            <w:r w:rsidRPr="000D352A">
              <w:rPr>
                <w:rStyle w:val="ae"/>
              </w:rPr>
              <w:footnoteReference w:id="2"/>
            </w:r>
            <w:r w:rsidRPr="000D352A">
              <w:t>, руб.</w:t>
            </w:r>
          </w:p>
        </w:tc>
      </w:tr>
      <w:tr w:rsidR="00BB3C8F" w:rsidRPr="000D352A" w:rsidTr="00BB3C8F">
        <w:tc>
          <w:tcPr>
            <w:tcW w:w="234" w:type="pct"/>
          </w:tcPr>
          <w:p w:rsidR="00D0295C" w:rsidRPr="000D352A" w:rsidRDefault="00D0295C" w:rsidP="00130D56">
            <w:pPr>
              <w:keepLines/>
              <w:widowControl w:val="0"/>
              <w:jc w:val="center"/>
            </w:pPr>
            <w:r>
              <w:t>1.</w:t>
            </w:r>
          </w:p>
        </w:tc>
        <w:tc>
          <w:tcPr>
            <w:tcW w:w="720" w:type="pct"/>
          </w:tcPr>
          <w:p w:rsidR="00D0295C" w:rsidRPr="000D352A" w:rsidRDefault="00D0295C" w:rsidP="00130D56">
            <w:pPr>
              <w:keepLines/>
              <w:widowControl w:val="0"/>
              <w:jc w:val="center"/>
            </w:pPr>
            <w:r w:rsidRPr="00BB0C63">
              <w:t>Протез голени для купания</w:t>
            </w:r>
          </w:p>
        </w:tc>
        <w:tc>
          <w:tcPr>
            <w:tcW w:w="2346" w:type="pct"/>
            <w:vAlign w:val="center"/>
          </w:tcPr>
          <w:p w:rsidR="00D0295C" w:rsidRPr="00130D56" w:rsidRDefault="00D0295C" w:rsidP="00130D56">
            <w:pPr>
              <w:widowControl w:val="0"/>
              <w:ind w:firstLine="274"/>
              <w:contextualSpacing/>
              <w:jc w:val="both"/>
            </w:pPr>
            <w:r w:rsidRPr="00130D56">
              <w:t>Протез голени для купания для инвалида высокого уровня двигательной активности:</w:t>
            </w:r>
          </w:p>
          <w:p w:rsidR="00D0295C" w:rsidRPr="00130D56" w:rsidRDefault="00D0295C" w:rsidP="00130D56">
            <w:pPr>
              <w:widowControl w:val="0"/>
              <w:ind w:firstLine="274"/>
              <w:contextualSpacing/>
              <w:jc w:val="both"/>
            </w:pPr>
            <w:r w:rsidRPr="00130D56">
              <w:t xml:space="preserve">  </w:t>
            </w:r>
            <w:proofErr w:type="spellStart"/>
            <w:r w:rsidRPr="00130D56">
              <w:t>Культеприемная</w:t>
            </w:r>
            <w:proofErr w:type="spellEnd"/>
            <w:r w:rsidRPr="00130D56">
              <w:t xml:space="preserve"> гильза должна быть индивидуальная, изготовленная по индивидуальному слепку с культи инвалида; постоянная гильза должна быть из литьевого слоистого пластика на основе акриловых смол; вкладная гильза из эластичных термопластов (для </w:t>
            </w:r>
            <w:proofErr w:type="spellStart"/>
            <w:r w:rsidRPr="00130D56">
              <w:t>скелетированной</w:t>
            </w:r>
            <w:proofErr w:type="spellEnd"/>
            <w:r w:rsidRPr="00130D56">
              <w:t xml:space="preserve"> гильзы).</w:t>
            </w:r>
          </w:p>
          <w:p w:rsidR="00D0295C" w:rsidRPr="00130D56" w:rsidRDefault="00D0295C" w:rsidP="00130D56">
            <w:pPr>
              <w:widowControl w:val="0"/>
              <w:ind w:firstLine="274"/>
              <w:contextualSpacing/>
              <w:jc w:val="both"/>
            </w:pPr>
            <w:r w:rsidRPr="00130D56">
              <w:t xml:space="preserve">  Крепление протеза должно быть - замковый дышащий силиконовый чехол, перфорированный с дистальным креплением, по всей длине которого, включая и его дистальное окончание равномерно должны быть распределены поры оптимального размера, позволяющие выводить из чехла избыточный воздух и влагу – 2 шт. </w:t>
            </w:r>
          </w:p>
          <w:p w:rsidR="00D0295C" w:rsidRPr="00130D56" w:rsidRDefault="00D0295C" w:rsidP="00130D56">
            <w:pPr>
              <w:widowControl w:val="0"/>
              <w:ind w:firstLine="274"/>
              <w:contextualSpacing/>
              <w:jc w:val="both"/>
            </w:pPr>
            <w:r w:rsidRPr="00130D56">
              <w:t xml:space="preserve">  Наколенник должен быть силиконовый – 2 шт.</w:t>
            </w:r>
          </w:p>
          <w:p w:rsidR="00D0295C" w:rsidRPr="00130D56" w:rsidRDefault="00D0295C" w:rsidP="00130D56">
            <w:pPr>
              <w:widowControl w:val="0"/>
              <w:ind w:firstLine="274"/>
              <w:contextualSpacing/>
              <w:jc w:val="both"/>
            </w:pPr>
            <w:r w:rsidRPr="00130D56">
              <w:t xml:space="preserve">  Стопа должна быть для активных пользователей, эффективно поглощающая моменты кручения, устойчива к атмосферным </w:t>
            </w:r>
          </w:p>
          <w:p w:rsidR="00D0295C" w:rsidRPr="00130D56" w:rsidRDefault="00D0295C" w:rsidP="00130D56">
            <w:pPr>
              <w:widowControl w:val="0"/>
              <w:ind w:firstLine="274"/>
              <w:contextualSpacing/>
              <w:jc w:val="both"/>
            </w:pPr>
            <w:r w:rsidRPr="00130D56">
              <w:t>воздействиям. В подошве стопы должны иметься каналы для стока воды на соединительном адаптере и дренажные отверстия для предотвращения скопления воды в протезе.</w:t>
            </w:r>
          </w:p>
          <w:p w:rsidR="00D0295C" w:rsidRPr="00130D56" w:rsidRDefault="00D0295C" w:rsidP="00130D56">
            <w:pPr>
              <w:widowControl w:val="0"/>
              <w:ind w:firstLine="274"/>
              <w:contextualSpacing/>
              <w:jc w:val="both"/>
            </w:pPr>
            <w:r w:rsidRPr="00130D56">
              <w:t xml:space="preserve">  Регулировочно - соединительные устройства должны быть влагозащищенные, на нагрузку соответствующие весу пациента.</w:t>
            </w:r>
          </w:p>
          <w:p w:rsidR="00D0295C" w:rsidRPr="00130D56" w:rsidRDefault="00D0295C" w:rsidP="00130D56">
            <w:pPr>
              <w:widowControl w:val="0"/>
              <w:ind w:firstLine="274"/>
              <w:contextualSpacing/>
              <w:jc w:val="both"/>
            </w:pPr>
            <w:r w:rsidRPr="00130D56">
              <w:t xml:space="preserve">  Без косметической облицовки.</w:t>
            </w:r>
          </w:p>
        </w:tc>
        <w:tc>
          <w:tcPr>
            <w:tcW w:w="360" w:type="pct"/>
          </w:tcPr>
          <w:p w:rsidR="00D0295C" w:rsidRPr="000D352A" w:rsidRDefault="00D0295C" w:rsidP="00130D56">
            <w:pPr>
              <w:keepLines/>
              <w:widowControl w:val="0"/>
              <w:jc w:val="center"/>
            </w:pPr>
            <w:r>
              <w:t>1</w:t>
            </w:r>
          </w:p>
        </w:tc>
        <w:tc>
          <w:tcPr>
            <w:tcW w:w="313" w:type="pct"/>
          </w:tcPr>
          <w:p w:rsidR="00D0295C" w:rsidRPr="008216F8" w:rsidRDefault="00D0295C" w:rsidP="00130D56">
            <w:pPr>
              <w:contextualSpacing/>
              <w:jc w:val="center"/>
            </w:pPr>
            <w:r>
              <w:t>штука</w:t>
            </w:r>
          </w:p>
        </w:tc>
        <w:tc>
          <w:tcPr>
            <w:tcW w:w="492" w:type="pct"/>
          </w:tcPr>
          <w:p w:rsidR="00D0295C" w:rsidRPr="000D352A" w:rsidRDefault="00D0295C" w:rsidP="00130D56">
            <w:pPr>
              <w:keepLines/>
              <w:widowControl w:val="0"/>
              <w:jc w:val="center"/>
            </w:pPr>
            <w:r>
              <w:t>866 412,91</w:t>
            </w:r>
          </w:p>
        </w:tc>
        <w:tc>
          <w:tcPr>
            <w:tcW w:w="535" w:type="pct"/>
          </w:tcPr>
          <w:p w:rsidR="00D0295C" w:rsidRPr="000D352A" w:rsidRDefault="00D0295C" w:rsidP="00130D56">
            <w:pPr>
              <w:keepLines/>
              <w:widowControl w:val="0"/>
              <w:jc w:val="center"/>
            </w:pPr>
            <w:r>
              <w:t>866 412,91</w:t>
            </w:r>
          </w:p>
        </w:tc>
      </w:tr>
      <w:tr w:rsidR="00BB3C8F" w:rsidRPr="000D352A" w:rsidTr="00BB3C8F">
        <w:tc>
          <w:tcPr>
            <w:tcW w:w="234" w:type="pct"/>
          </w:tcPr>
          <w:p w:rsidR="00D0295C" w:rsidRPr="000D352A" w:rsidRDefault="00D0295C" w:rsidP="00130D56">
            <w:pPr>
              <w:keepLines/>
              <w:widowControl w:val="0"/>
              <w:jc w:val="center"/>
            </w:pPr>
            <w:r>
              <w:t>2.</w:t>
            </w:r>
          </w:p>
        </w:tc>
        <w:tc>
          <w:tcPr>
            <w:tcW w:w="720" w:type="pct"/>
          </w:tcPr>
          <w:p w:rsidR="00D0295C" w:rsidRPr="000D352A" w:rsidRDefault="00D0295C" w:rsidP="00130D56">
            <w:pPr>
              <w:keepLines/>
              <w:widowControl w:val="0"/>
              <w:jc w:val="center"/>
            </w:pPr>
            <w:r w:rsidRPr="00BB0C63">
              <w:t>Протез голени для купания</w:t>
            </w:r>
          </w:p>
        </w:tc>
        <w:tc>
          <w:tcPr>
            <w:tcW w:w="2346" w:type="pct"/>
          </w:tcPr>
          <w:p w:rsidR="00D0295C" w:rsidRPr="00130D56" w:rsidRDefault="00D0295C" w:rsidP="00130D56">
            <w:pPr>
              <w:widowControl w:val="0"/>
              <w:ind w:firstLine="274"/>
              <w:contextualSpacing/>
              <w:jc w:val="both"/>
            </w:pPr>
            <w:r w:rsidRPr="00130D56">
              <w:t xml:space="preserve">Протез голени для купания должен быть: </w:t>
            </w:r>
          </w:p>
          <w:p w:rsidR="00D0295C" w:rsidRPr="00130D56" w:rsidRDefault="00D0295C" w:rsidP="00130D56">
            <w:pPr>
              <w:widowControl w:val="0"/>
              <w:ind w:firstLine="274"/>
              <w:contextualSpacing/>
              <w:jc w:val="both"/>
            </w:pPr>
            <w:r w:rsidRPr="00130D56">
              <w:t xml:space="preserve">-постоянная гильза индивидуальная, должна быть изготовленная по индивидуальному слепку с культи инвалида из литьевого слоистого пластика на основе акриловых смол; приемная (пробная) гильза -1 шт.; </w:t>
            </w:r>
          </w:p>
          <w:p w:rsidR="00D0295C" w:rsidRPr="00130D56" w:rsidRDefault="00D0295C" w:rsidP="00130D56">
            <w:pPr>
              <w:widowControl w:val="0"/>
              <w:ind w:firstLine="274"/>
              <w:contextualSpacing/>
              <w:jc w:val="both"/>
            </w:pPr>
            <w:proofErr w:type="spellStart"/>
            <w:r w:rsidRPr="00130D56">
              <w:t>силиконлайнер</w:t>
            </w:r>
            <w:proofErr w:type="spellEnd"/>
            <w:r w:rsidRPr="00130D56">
              <w:t xml:space="preserve">; </w:t>
            </w:r>
          </w:p>
          <w:p w:rsidR="00D0295C" w:rsidRPr="00130D56" w:rsidRDefault="00D0295C" w:rsidP="00130D56">
            <w:pPr>
              <w:widowControl w:val="0"/>
              <w:ind w:firstLine="274"/>
              <w:contextualSpacing/>
              <w:jc w:val="both"/>
            </w:pPr>
            <w:r w:rsidRPr="00130D56">
              <w:t xml:space="preserve">стопа водостойкая, </w:t>
            </w:r>
            <w:proofErr w:type="spellStart"/>
            <w:r w:rsidRPr="00130D56">
              <w:t>углепластиковая</w:t>
            </w:r>
            <w:proofErr w:type="spellEnd"/>
            <w:r w:rsidRPr="00130D56">
              <w:t xml:space="preserve">; </w:t>
            </w:r>
          </w:p>
          <w:p w:rsidR="00D0295C" w:rsidRPr="00130D56" w:rsidRDefault="00D0295C" w:rsidP="00130D56">
            <w:pPr>
              <w:widowControl w:val="0"/>
              <w:ind w:firstLine="274"/>
              <w:contextualSpacing/>
              <w:jc w:val="both"/>
            </w:pPr>
            <w:r w:rsidRPr="00130D56">
              <w:t xml:space="preserve">регулировочно-соединительные устройства, соответствующие весу пациента, водостойкие; </w:t>
            </w:r>
          </w:p>
          <w:p w:rsidR="00D0295C" w:rsidRPr="00130D56" w:rsidRDefault="00D0295C" w:rsidP="00BB301F">
            <w:pPr>
              <w:widowControl w:val="0"/>
              <w:ind w:firstLine="274"/>
              <w:contextualSpacing/>
              <w:jc w:val="both"/>
            </w:pPr>
            <w:r w:rsidRPr="00130D56">
              <w:t>крепление за счет замкового устройства для полимерных чехлов или ваку</w:t>
            </w:r>
            <w:r w:rsidR="00BB301F">
              <w:t>ума и силиконового наколенника;</w:t>
            </w:r>
          </w:p>
        </w:tc>
        <w:tc>
          <w:tcPr>
            <w:tcW w:w="360" w:type="pct"/>
          </w:tcPr>
          <w:p w:rsidR="00D0295C" w:rsidRPr="000D352A" w:rsidRDefault="00D0295C" w:rsidP="00130D56">
            <w:pPr>
              <w:keepLines/>
              <w:widowControl w:val="0"/>
              <w:jc w:val="center"/>
            </w:pPr>
            <w:r>
              <w:t>1</w:t>
            </w:r>
          </w:p>
        </w:tc>
        <w:tc>
          <w:tcPr>
            <w:tcW w:w="313" w:type="pct"/>
          </w:tcPr>
          <w:p w:rsidR="00D0295C" w:rsidRPr="000D352A" w:rsidRDefault="00D0295C" w:rsidP="00130D56">
            <w:pPr>
              <w:keepLines/>
              <w:widowControl w:val="0"/>
              <w:jc w:val="center"/>
            </w:pPr>
            <w:r>
              <w:t>штука</w:t>
            </w:r>
          </w:p>
        </w:tc>
        <w:tc>
          <w:tcPr>
            <w:tcW w:w="492" w:type="pct"/>
          </w:tcPr>
          <w:p w:rsidR="00D0295C" w:rsidRPr="000D352A" w:rsidRDefault="00D0295C" w:rsidP="00130D56">
            <w:pPr>
              <w:keepLines/>
              <w:widowControl w:val="0"/>
              <w:jc w:val="center"/>
            </w:pPr>
            <w:r>
              <w:t>543 770,90</w:t>
            </w:r>
          </w:p>
        </w:tc>
        <w:tc>
          <w:tcPr>
            <w:tcW w:w="535" w:type="pct"/>
          </w:tcPr>
          <w:p w:rsidR="00D0295C" w:rsidRPr="000D352A" w:rsidRDefault="00D0295C" w:rsidP="00130D56">
            <w:pPr>
              <w:keepLines/>
              <w:widowControl w:val="0"/>
              <w:jc w:val="center"/>
            </w:pPr>
            <w:r>
              <w:t>543 770,90</w:t>
            </w:r>
          </w:p>
        </w:tc>
      </w:tr>
      <w:tr w:rsidR="00BB3C8F" w:rsidRPr="000D352A" w:rsidTr="00BB3C8F">
        <w:tc>
          <w:tcPr>
            <w:tcW w:w="234" w:type="pct"/>
          </w:tcPr>
          <w:p w:rsidR="00D0295C" w:rsidRPr="000D352A" w:rsidRDefault="00D0295C" w:rsidP="00130D56">
            <w:pPr>
              <w:keepLines/>
              <w:widowControl w:val="0"/>
              <w:jc w:val="center"/>
            </w:pPr>
            <w:r>
              <w:t>3.</w:t>
            </w:r>
          </w:p>
        </w:tc>
        <w:tc>
          <w:tcPr>
            <w:tcW w:w="720" w:type="pct"/>
          </w:tcPr>
          <w:p w:rsidR="00D0295C" w:rsidRPr="000D352A" w:rsidRDefault="00D0295C" w:rsidP="00130D56">
            <w:pPr>
              <w:keepLines/>
              <w:widowControl w:val="0"/>
              <w:jc w:val="center"/>
            </w:pPr>
            <w:r w:rsidRPr="00BB0C63">
              <w:t>Протез голени для купания</w:t>
            </w:r>
          </w:p>
        </w:tc>
        <w:tc>
          <w:tcPr>
            <w:tcW w:w="2346" w:type="pct"/>
          </w:tcPr>
          <w:p w:rsidR="00D0295C" w:rsidRPr="00130D56" w:rsidRDefault="00D0295C" w:rsidP="00130D56">
            <w:pPr>
              <w:widowControl w:val="0"/>
              <w:ind w:firstLine="274"/>
              <w:contextualSpacing/>
              <w:jc w:val="both"/>
            </w:pPr>
            <w:r w:rsidRPr="00130D56">
              <w:t xml:space="preserve">Протез голени для купания должен быть: </w:t>
            </w:r>
          </w:p>
          <w:p w:rsidR="00D0295C" w:rsidRPr="00130D56" w:rsidRDefault="00D0295C" w:rsidP="00130D56">
            <w:pPr>
              <w:widowControl w:val="0"/>
              <w:ind w:firstLine="274"/>
              <w:contextualSpacing/>
              <w:jc w:val="both"/>
            </w:pPr>
            <w:r w:rsidRPr="00130D56">
              <w:t xml:space="preserve">постоянная гильза индивидуальная, изготовленная по индивидуальному слепку с культи инвалида из литьевого слоистого пластика на основе акриловых смол; </w:t>
            </w:r>
          </w:p>
          <w:p w:rsidR="00D0295C" w:rsidRPr="00130D56" w:rsidRDefault="00D0295C" w:rsidP="00130D56">
            <w:pPr>
              <w:widowControl w:val="0"/>
              <w:ind w:firstLine="274"/>
              <w:contextualSpacing/>
              <w:jc w:val="both"/>
            </w:pPr>
            <w:r w:rsidRPr="00130D56">
              <w:t>вкладная гильза должна быть из смягчающего материала;</w:t>
            </w:r>
          </w:p>
          <w:p w:rsidR="00D0295C" w:rsidRPr="00130D56" w:rsidRDefault="00D0295C" w:rsidP="00130D56">
            <w:pPr>
              <w:widowControl w:val="0"/>
              <w:ind w:firstLine="274"/>
              <w:contextualSpacing/>
              <w:jc w:val="both"/>
            </w:pPr>
            <w:r w:rsidRPr="00130D56">
              <w:t xml:space="preserve">приемная (пробная) гильза должна быть -1 шт.; </w:t>
            </w:r>
          </w:p>
          <w:p w:rsidR="00D0295C" w:rsidRPr="00130D56" w:rsidRDefault="00D0295C" w:rsidP="00130D56">
            <w:pPr>
              <w:widowControl w:val="0"/>
              <w:ind w:firstLine="274"/>
              <w:contextualSpacing/>
              <w:jc w:val="both"/>
            </w:pPr>
            <w:r w:rsidRPr="00130D56">
              <w:t xml:space="preserve">стопа должна быть водостойкая, </w:t>
            </w:r>
            <w:proofErr w:type="spellStart"/>
            <w:r w:rsidRPr="00130D56">
              <w:t>углепластиковая</w:t>
            </w:r>
            <w:proofErr w:type="spellEnd"/>
            <w:r w:rsidRPr="00130D56">
              <w:t xml:space="preserve">, в подошве стопы должны иметься каналы для стока воды на соединительном адаптере и дренажные отверстия для предотвращения скопления воды в протезе; регулировочно-соединительные устройства, должны быть соответствующие весу пациента, водостойкие; </w:t>
            </w:r>
          </w:p>
          <w:p w:rsidR="00D0295C" w:rsidRPr="00130D56" w:rsidRDefault="00D0295C" w:rsidP="00130D56">
            <w:pPr>
              <w:widowControl w:val="0"/>
              <w:ind w:firstLine="274"/>
              <w:contextualSpacing/>
              <w:jc w:val="both"/>
            </w:pPr>
            <w:r w:rsidRPr="00130D56">
              <w:t xml:space="preserve">крепление должно быть за счет силиконового наколенника - 2 шт.; </w:t>
            </w:r>
          </w:p>
          <w:p w:rsidR="00D0295C" w:rsidRPr="00130D56" w:rsidRDefault="00D0295C" w:rsidP="00130D56">
            <w:pPr>
              <w:widowControl w:val="0"/>
              <w:ind w:firstLine="274"/>
              <w:jc w:val="both"/>
            </w:pPr>
            <w:r w:rsidRPr="00130D56">
              <w:t>без косметической облицовки.</w:t>
            </w:r>
          </w:p>
        </w:tc>
        <w:tc>
          <w:tcPr>
            <w:tcW w:w="360" w:type="pct"/>
          </w:tcPr>
          <w:p w:rsidR="00D0295C" w:rsidRPr="000D352A" w:rsidRDefault="00D0295C" w:rsidP="00130D56">
            <w:pPr>
              <w:keepLines/>
              <w:widowControl w:val="0"/>
              <w:jc w:val="center"/>
            </w:pPr>
            <w:r>
              <w:t>1</w:t>
            </w:r>
          </w:p>
        </w:tc>
        <w:tc>
          <w:tcPr>
            <w:tcW w:w="313" w:type="pct"/>
          </w:tcPr>
          <w:p w:rsidR="00D0295C" w:rsidRPr="000D352A" w:rsidRDefault="00D0295C" w:rsidP="00130D56">
            <w:pPr>
              <w:keepLines/>
              <w:widowControl w:val="0"/>
              <w:jc w:val="center"/>
            </w:pPr>
            <w:r>
              <w:t>штука</w:t>
            </w:r>
          </w:p>
        </w:tc>
        <w:tc>
          <w:tcPr>
            <w:tcW w:w="492" w:type="pct"/>
          </w:tcPr>
          <w:p w:rsidR="00D0295C" w:rsidRPr="000D352A" w:rsidRDefault="00D0295C" w:rsidP="00130D56">
            <w:pPr>
              <w:keepLines/>
              <w:widowControl w:val="0"/>
              <w:jc w:val="center"/>
            </w:pPr>
            <w:r>
              <w:t>474 322,53</w:t>
            </w:r>
          </w:p>
        </w:tc>
        <w:tc>
          <w:tcPr>
            <w:tcW w:w="535" w:type="pct"/>
          </w:tcPr>
          <w:p w:rsidR="00D0295C" w:rsidRPr="000D352A" w:rsidRDefault="00D0295C" w:rsidP="00130D56">
            <w:pPr>
              <w:keepLines/>
              <w:widowControl w:val="0"/>
              <w:jc w:val="center"/>
            </w:pPr>
            <w:r>
              <w:t>474 322,53</w:t>
            </w:r>
          </w:p>
        </w:tc>
      </w:tr>
      <w:tr w:rsidR="00BB3C8F" w:rsidRPr="000D352A" w:rsidTr="00BB3C8F">
        <w:tc>
          <w:tcPr>
            <w:tcW w:w="234" w:type="pct"/>
          </w:tcPr>
          <w:p w:rsidR="00D0295C" w:rsidRPr="000D352A" w:rsidRDefault="00D0295C" w:rsidP="00130D56">
            <w:pPr>
              <w:keepLines/>
              <w:widowControl w:val="0"/>
              <w:jc w:val="center"/>
            </w:pPr>
            <w:r>
              <w:t>4.</w:t>
            </w:r>
          </w:p>
        </w:tc>
        <w:tc>
          <w:tcPr>
            <w:tcW w:w="720" w:type="pct"/>
          </w:tcPr>
          <w:p w:rsidR="00D0295C" w:rsidRPr="000D352A" w:rsidRDefault="00D0295C" w:rsidP="00130D56">
            <w:pPr>
              <w:keepLines/>
              <w:widowControl w:val="0"/>
              <w:jc w:val="center"/>
            </w:pPr>
            <w:r w:rsidRPr="00BB0C63">
              <w:t xml:space="preserve">Протез </w:t>
            </w:r>
            <w:r>
              <w:t>бедра</w:t>
            </w:r>
            <w:r w:rsidRPr="00BB0C63">
              <w:t xml:space="preserve"> для купания</w:t>
            </w:r>
          </w:p>
        </w:tc>
        <w:tc>
          <w:tcPr>
            <w:tcW w:w="2346" w:type="pct"/>
          </w:tcPr>
          <w:p w:rsidR="00D0295C" w:rsidRPr="00130D56" w:rsidRDefault="00D0295C" w:rsidP="00BB301F">
            <w:pPr>
              <w:widowControl w:val="0"/>
              <w:ind w:firstLine="274"/>
              <w:contextualSpacing/>
              <w:jc w:val="both"/>
              <w:rPr>
                <w:color w:val="000000"/>
                <w:lang w:eastAsia="ru-RU"/>
              </w:rPr>
            </w:pPr>
            <w:r w:rsidRPr="00130D56">
              <w:rPr>
                <w:color w:val="000000"/>
                <w:lang w:eastAsia="ru-RU"/>
              </w:rPr>
              <w:t xml:space="preserve">Протез бедра для купания: Приёмная гильза должна быть индивидуальная изготовлена по слепку с культи инвалида (одна пробная гильза должна быть из </w:t>
            </w:r>
            <w:proofErr w:type="spellStart"/>
            <w:r w:rsidRPr="00130D56">
              <w:rPr>
                <w:color w:val="000000"/>
                <w:lang w:eastAsia="ru-RU"/>
              </w:rPr>
              <w:t>термолина</w:t>
            </w:r>
            <w:proofErr w:type="spellEnd"/>
            <w:r w:rsidRPr="00130D56">
              <w:rPr>
                <w:color w:val="000000"/>
                <w:lang w:eastAsia="ru-RU"/>
              </w:rPr>
              <w:t>). Материал</w:t>
            </w:r>
            <w:r w:rsidR="00BB301F">
              <w:rPr>
                <w:color w:val="000000"/>
                <w:lang w:eastAsia="ru-RU"/>
              </w:rPr>
              <w:t xml:space="preserve"> </w:t>
            </w:r>
            <w:r w:rsidRPr="00130D56">
              <w:rPr>
                <w:color w:val="000000"/>
                <w:lang w:eastAsia="ru-RU"/>
              </w:rPr>
              <w:t xml:space="preserve">индивидуальной постоянной гильзы должен быть слоистый пластик на основе акриловых смол. </w:t>
            </w:r>
          </w:p>
          <w:p w:rsidR="00D0295C" w:rsidRPr="00130D56" w:rsidRDefault="00D0295C" w:rsidP="00130D56">
            <w:pPr>
              <w:widowControl w:val="0"/>
              <w:ind w:firstLine="274"/>
              <w:contextualSpacing/>
              <w:jc w:val="both"/>
              <w:rPr>
                <w:color w:val="000000"/>
                <w:lang w:eastAsia="ru-RU"/>
              </w:rPr>
            </w:pPr>
            <w:r w:rsidRPr="00130D56">
              <w:rPr>
                <w:color w:val="000000"/>
                <w:lang w:eastAsia="ru-RU"/>
              </w:rPr>
              <w:t xml:space="preserve">Коленный модуль должен быть одноосный влагостойкий с гидравлическим контролем фазы переноса и опоры. Гидравлический контроль фазы опоры должен делать возможным подгибание под нагрузкой. </w:t>
            </w:r>
          </w:p>
          <w:p w:rsidR="00D0295C" w:rsidRPr="00130D56" w:rsidRDefault="00D0295C" w:rsidP="00BB301F">
            <w:pPr>
              <w:widowControl w:val="0"/>
              <w:ind w:firstLine="274"/>
              <w:contextualSpacing/>
              <w:jc w:val="both"/>
              <w:rPr>
                <w:color w:val="000000"/>
                <w:lang w:eastAsia="ru-RU"/>
              </w:rPr>
            </w:pPr>
            <w:r w:rsidRPr="00130D56">
              <w:rPr>
                <w:color w:val="000000"/>
                <w:lang w:eastAsia="ru-RU"/>
              </w:rPr>
              <w:t xml:space="preserve">Стопа должна быть влагостойкая для инвалидов с различным уровнем ампутации. Стопа должна быть динамическая с разделенным передним отделом должна обеспечивать устойчивость при ходьбе по неровной поверхности и высокую отдачу энергии. Пяточная пружинная система </w:t>
            </w:r>
            <w:r w:rsidR="00BB301F" w:rsidRPr="00130D56">
              <w:rPr>
                <w:color w:val="000000"/>
                <w:lang w:eastAsia="ru-RU"/>
              </w:rPr>
              <w:t>д</w:t>
            </w:r>
            <w:r w:rsidRPr="00130D56">
              <w:rPr>
                <w:color w:val="000000"/>
                <w:lang w:eastAsia="ru-RU"/>
              </w:rPr>
              <w:t>олжна</w:t>
            </w:r>
            <w:r w:rsidR="00BB301F">
              <w:rPr>
                <w:color w:val="000000"/>
                <w:lang w:eastAsia="ru-RU"/>
              </w:rPr>
              <w:t xml:space="preserve"> </w:t>
            </w:r>
            <w:r w:rsidRPr="00130D56">
              <w:rPr>
                <w:color w:val="000000"/>
                <w:lang w:eastAsia="ru-RU"/>
              </w:rPr>
              <w:t xml:space="preserve">обеспечивать эффективную амортизацию ударных нагрузок. Передняя часть стопы и пятка должны быть из гибкого композиционного материала объединены в одну систему при помощи опорной пружины из высокопрочного полимера. </w:t>
            </w:r>
          </w:p>
          <w:p w:rsidR="00D0295C" w:rsidRPr="00130D56" w:rsidRDefault="00D0295C" w:rsidP="00130D56">
            <w:pPr>
              <w:widowControl w:val="0"/>
              <w:ind w:firstLine="274"/>
              <w:contextualSpacing/>
              <w:jc w:val="both"/>
              <w:rPr>
                <w:color w:val="000000"/>
                <w:lang w:eastAsia="ru-RU"/>
              </w:rPr>
            </w:pPr>
            <w:r w:rsidRPr="00130D56">
              <w:rPr>
                <w:color w:val="000000"/>
                <w:lang w:eastAsia="ru-RU"/>
              </w:rPr>
              <w:t xml:space="preserve">В комплект протеза должно входить оболочка стопы с соединительной крышкой, защитный носок, а также взаимозаменяемые пяточные клинья для настройки характеристик переката. Адаптер пирамидка должен быть из легкого прочного материала. </w:t>
            </w:r>
          </w:p>
          <w:p w:rsidR="00D0295C" w:rsidRPr="00130D56" w:rsidRDefault="00D0295C" w:rsidP="00BB301F">
            <w:pPr>
              <w:widowControl w:val="0"/>
              <w:ind w:firstLine="274"/>
              <w:contextualSpacing/>
              <w:jc w:val="both"/>
              <w:rPr>
                <w:color w:val="000000"/>
                <w:lang w:eastAsia="ru-RU"/>
              </w:rPr>
            </w:pPr>
            <w:r w:rsidRPr="00130D56">
              <w:rPr>
                <w:color w:val="000000"/>
                <w:lang w:eastAsia="ru-RU"/>
              </w:rPr>
              <w:t xml:space="preserve">Все полуфабрикаты и регулировочно-соединительное устройства должны быть из влагозащищенных материалов и соответствуют весу инвалида. Крепление должно осуществляется за счет силиконового чехла с использованием замка, за счет силиконового чехла с мембраной, с вакуумным креплением. </w:t>
            </w:r>
          </w:p>
          <w:p w:rsidR="00D0295C" w:rsidRPr="00130D56" w:rsidRDefault="00D0295C" w:rsidP="00130D56">
            <w:pPr>
              <w:widowControl w:val="0"/>
              <w:ind w:firstLine="274"/>
              <w:contextualSpacing/>
              <w:jc w:val="both"/>
              <w:rPr>
                <w:color w:val="000000"/>
                <w:lang w:eastAsia="ru-RU"/>
              </w:rPr>
            </w:pPr>
            <w:r w:rsidRPr="00130D56">
              <w:rPr>
                <w:color w:val="000000"/>
                <w:lang w:eastAsia="ru-RU"/>
              </w:rPr>
              <w:t>Должна быть косметическая облицовка или без неё, в зависимости от потребностей получателя.</w:t>
            </w:r>
          </w:p>
        </w:tc>
        <w:tc>
          <w:tcPr>
            <w:tcW w:w="360" w:type="pct"/>
          </w:tcPr>
          <w:p w:rsidR="00D0295C" w:rsidRPr="000D352A" w:rsidRDefault="00D0295C" w:rsidP="00130D56">
            <w:pPr>
              <w:keepLines/>
              <w:widowControl w:val="0"/>
              <w:jc w:val="center"/>
            </w:pPr>
            <w:r>
              <w:t>1</w:t>
            </w:r>
          </w:p>
        </w:tc>
        <w:tc>
          <w:tcPr>
            <w:tcW w:w="313" w:type="pct"/>
          </w:tcPr>
          <w:p w:rsidR="00D0295C" w:rsidRPr="000D352A" w:rsidRDefault="00D0295C" w:rsidP="00130D56">
            <w:pPr>
              <w:keepLines/>
              <w:widowControl w:val="0"/>
              <w:jc w:val="center"/>
            </w:pPr>
            <w:r>
              <w:t>штука</w:t>
            </w:r>
          </w:p>
        </w:tc>
        <w:tc>
          <w:tcPr>
            <w:tcW w:w="492" w:type="pct"/>
          </w:tcPr>
          <w:p w:rsidR="00D0295C" w:rsidRPr="000D352A" w:rsidRDefault="00D0295C" w:rsidP="00130D56">
            <w:pPr>
              <w:keepLines/>
              <w:widowControl w:val="0"/>
              <w:jc w:val="center"/>
            </w:pPr>
            <w:r>
              <w:t>888 866,08</w:t>
            </w:r>
          </w:p>
        </w:tc>
        <w:tc>
          <w:tcPr>
            <w:tcW w:w="535" w:type="pct"/>
          </w:tcPr>
          <w:p w:rsidR="00D0295C" w:rsidRPr="000D352A" w:rsidRDefault="00D0295C" w:rsidP="00130D56">
            <w:pPr>
              <w:keepLines/>
              <w:widowControl w:val="0"/>
              <w:jc w:val="center"/>
            </w:pPr>
            <w:r>
              <w:t>888 866,08</w:t>
            </w:r>
          </w:p>
        </w:tc>
      </w:tr>
      <w:tr w:rsidR="00BB3C8F" w:rsidRPr="000D352A" w:rsidTr="00BB3C8F">
        <w:tc>
          <w:tcPr>
            <w:tcW w:w="234" w:type="pct"/>
          </w:tcPr>
          <w:p w:rsidR="00D0295C" w:rsidRPr="000D352A" w:rsidRDefault="00D0295C" w:rsidP="00130D56">
            <w:pPr>
              <w:keepLines/>
              <w:widowControl w:val="0"/>
              <w:jc w:val="center"/>
              <w:rPr>
                <w:lang w:eastAsia="en-US"/>
              </w:rPr>
            </w:pPr>
            <w:r>
              <w:rPr>
                <w:lang w:eastAsia="en-US"/>
              </w:rPr>
              <w:t>5.</w:t>
            </w:r>
          </w:p>
        </w:tc>
        <w:tc>
          <w:tcPr>
            <w:tcW w:w="720" w:type="pct"/>
          </w:tcPr>
          <w:p w:rsidR="00D0295C" w:rsidRPr="000D352A" w:rsidRDefault="00D0295C" w:rsidP="00130D56">
            <w:pPr>
              <w:keepLines/>
              <w:widowControl w:val="0"/>
              <w:jc w:val="center"/>
            </w:pPr>
            <w:r w:rsidRPr="00BB0C63">
              <w:t xml:space="preserve">Протез </w:t>
            </w:r>
            <w:r>
              <w:t>бедра</w:t>
            </w:r>
            <w:r w:rsidRPr="00BB0C63">
              <w:t xml:space="preserve"> для купания</w:t>
            </w:r>
          </w:p>
        </w:tc>
        <w:tc>
          <w:tcPr>
            <w:tcW w:w="2346" w:type="pct"/>
            <w:vAlign w:val="center"/>
          </w:tcPr>
          <w:p w:rsidR="00D0295C" w:rsidRPr="00130D56" w:rsidRDefault="00D0295C" w:rsidP="00130D56">
            <w:pPr>
              <w:widowControl w:val="0"/>
              <w:ind w:firstLine="274"/>
              <w:contextualSpacing/>
              <w:jc w:val="both"/>
            </w:pPr>
            <w:r w:rsidRPr="00130D56">
              <w:t>Протез бедра для купания должен быть для инвалида высокого уровня двигательной активности:</w:t>
            </w:r>
          </w:p>
          <w:p w:rsidR="00D0295C" w:rsidRPr="00130D56" w:rsidRDefault="00D0295C" w:rsidP="00130D56">
            <w:pPr>
              <w:widowControl w:val="0"/>
              <w:ind w:firstLine="274"/>
              <w:contextualSpacing/>
              <w:jc w:val="both"/>
            </w:pPr>
            <w:r w:rsidRPr="00130D56">
              <w:t xml:space="preserve">Протез должен быть без косметической облицовки и оболочки. </w:t>
            </w:r>
          </w:p>
          <w:p w:rsidR="00D0295C" w:rsidRPr="00130D56" w:rsidRDefault="00D0295C" w:rsidP="00BB301F">
            <w:pPr>
              <w:widowControl w:val="0"/>
              <w:ind w:firstLine="274"/>
              <w:contextualSpacing/>
              <w:jc w:val="both"/>
            </w:pPr>
            <w:r w:rsidRPr="00130D56">
              <w:t xml:space="preserve">Приемная гильза должна быть индивидуальная. Материал приемной гильзы должен быть из пластика на основе акриловых смол. </w:t>
            </w:r>
          </w:p>
          <w:p w:rsidR="00D0295C" w:rsidRPr="00130D56" w:rsidRDefault="00D0295C" w:rsidP="00130D56">
            <w:pPr>
              <w:widowControl w:val="0"/>
              <w:ind w:firstLine="274"/>
              <w:contextualSpacing/>
              <w:jc w:val="both"/>
            </w:pPr>
            <w:r w:rsidRPr="00130D56">
              <w:t xml:space="preserve">Крепление протеза должно быть- чехол полимерный </w:t>
            </w:r>
            <w:proofErr w:type="spellStart"/>
            <w:r w:rsidRPr="00130D56">
              <w:t>гелевый</w:t>
            </w:r>
            <w:proofErr w:type="spellEnd"/>
            <w:r w:rsidRPr="00130D56">
              <w:t>, должен быть средней плотности, без верхнего текстильного покрытия, с использованием замка для полимерных чехлов. Коленный шарнир должен быть полицентрический, замковый для купания. Стопа должна быть с повышенной упругостью носочной части, с решетчатым профилем подошвы стопы, с отведенным большим пальцем. Несущие модули на нагрузку, должны соответствовать весу пациента - материал титан.</w:t>
            </w:r>
          </w:p>
        </w:tc>
        <w:tc>
          <w:tcPr>
            <w:tcW w:w="360" w:type="pct"/>
          </w:tcPr>
          <w:p w:rsidR="00D0295C" w:rsidRPr="000D352A" w:rsidRDefault="00D0295C" w:rsidP="00130D56">
            <w:pPr>
              <w:keepLines/>
              <w:widowControl w:val="0"/>
              <w:jc w:val="center"/>
            </w:pPr>
            <w:r>
              <w:t>1</w:t>
            </w:r>
          </w:p>
        </w:tc>
        <w:tc>
          <w:tcPr>
            <w:tcW w:w="313" w:type="pct"/>
          </w:tcPr>
          <w:p w:rsidR="00D0295C" w:rsidRPr="000D352A" w:rsidRDefault="00D0295C" w:rsidP="00130D56">
            <w:pPr>
              <w:keepLines/>
              <w:widowControl w:val="0"/>
              <w:jc w:val="center"/>
            </w:pPr>
            <w:r>
              <w:t>штука</w:t>
            </w:r>
          </w:p>
        </w:tc>
        <w:tc>
          <w:tcPr>
            <w:tcW w:w="492" w:type="pct"/>
          </w:tcPr>
          <w:p w:rsidR="00D0295C" w:rsidRPr="000D352A" w:rsidRDefault="00D0295C" w:rsidP="00130D56">
            <w:pPr>
              <w:keepLines/>
              <w:widowControl w:val="0"/>
              <w:jc w:val="center"/>
            </w:pPr>
            <w:r>
              <w:t>363 844,11</w:t>
            </w:r>
          </w:p>
        </w:tc>
        <w:tc>
          <w:tcPr>
            <w:tcW w:w="535" w:type="pct"/>
          </w:tcPr>
          <w:p w:rsidR="00D0295C" w:rsidRPr="000D352A" w:rsidRDefault="00D0295C" w:rsidP="00130D56">
            <w:pPr>
              <w:keepLines/>
              <w:widowControl w:val="0"/>
              <w:jc w:val="center"/>
            </w:pPr>
            <w:r>
              <w:t>363 844,11</w:t>
            </w:r>
          </w:p>
        </w:tc>
      </w:tr>
      <w:tr w:rsidR="00BB3C8F" w:rsidRPr="000D352A" w:rsidTr="00BB3C8F">
        <w:tc>
          <w:tcPr>
            <w:tcW w:w="234" w:type="pct"/>
          </w:tcPr>
          <w:p w:rsidR="00D0295C" w:rsidRPr="000D352A" w:rsidRDefault="00D0295C" w:rsidP="00130D56">
            <w:pPr>
              <w:keepLines/>
              <w:widowControl w:val="0"/>
              <w:jc w:val="center"/>
              <w:rPr>
                <w:lang w:eastAsia="en-US"/>
              </w:rPr>
            </w:pPr>
            <w:r>
              <w:rPr>
                <w:lang w:eastAsia="en-US"/>
              </w:rPr>
              <w:t>6.</w:t>
            </w:r>
          </w:p>
        </w:tc>
        <w:tc>
          <w:tcPr>
            <w:tcW w:w="720" w:type="pct"/>
          </w:tcPr>
          <w:p w:rsidR="00D0295C" w:rsidRPr="000D352A" w:rsidRDefault="00D0295C" w:rsidP="00130D56">
            <w:pPr>
              <w:keepLines/>
              <w:widowControl w:val="0"/>
              <w:jc w:val="center"/>
            </w:pPr>
            <w:r w:rsidRPr="00BB0C63">
              <w:t xml:space="preserve">Протез </w:t>
            </w:r>
            <w:r>
              <w:t>бедра</w:t>
            </w:r>
            <w:r w:rsidRPr="00BB0C63">
              <w:t xml:space="preserve"> для купания</w:t>
            </w:r>
          </w:p>
        </w:tc>
        <w:tc>
          <w:tcPr>
            <w:tcW w:w="2346" w:type="pct"/>
            <w:vAlign w:val="center"/>
          </w:tcPr>
          <w:p w:rsidR="00D0295C" w:rsidRPr="00130D56" w:rsidRDefault="00D0295C" w:rsidP="00130D56">
            <w:pPr>
              <w:widowControl w:val="0"/>
              <w:ind w:firstLine="274"/>
              <w:contextualSpacing/>
              <w:jc w:val="both"/>
            </w:pPr>
            <w:r w:rsidRPr="00130D56">
              <w:t>Протез бедра для купания должен быть:</w:t>
            </w:r>
          </w:p>
          <w:p w:rsidR="00D0295C" w:rsidRPr="00130D56" w:rsidRDefault="00D0295C" w:rsidP="00BB301F">
            <w:pPr>
              <w:widowControl w:val="0"/>
              <w:ind w:firstLine="274"/>
              <w:contextualSpacing/>
              <w:jc w:val="both"/>
            </w:pPr>
            <w:r w:rsidRPr="00130D56">
              <w:t xml:space="preserve">несущая </w:t>
            </w:r>
            <w:proofErr w:type="spellStart"/>
            <w:r w:rsidRPr="00130D56">
              <w:t>скелетированная</w:t>
            </w:r>
            <w:proofErr w:type="spellEnd"/>
            <w:r w:rsidRPr="00130D56">
              <w:t xml:space="preserve"> приемная гильза из антисептического материала с молекулами серебра, </w:t>
            </w:r>
            <w:proofErr w:type="spellStart"/>
            <w:r w:rsidRPr="00130D56">
              <w:t>индивиуального</w:t>
            </w:r>
            <w:proofErr w:type="spellEnd"/>
            <w:r w:rsidRPr="00130D56">
              <w:t xml:space="preserve"> изготовления по слепку. </w:t>
            </w:r>
          </w:p>
          <w:p w:rsidR="00D0295C" w:rsidRPr="00130D56" w:rsidRDefault="00D0295C" w:rsidP="00130D56">
            <w:pPr>
              <w:widowControl w:val="0"/>
              <w:ind w:firstLine="274"/>
              <w:contextualSpacing/>
              <w:jc w:val="both"/>
            </w:pPr>
            <w:r w:rsidRPr="00130D56">
              <w:t xml:space="preserve">Должен быть с гидравлическим одноосным коленным шарниром с независимым бесступенчатым механизмом регулирования фазы сгибания и разгибания, с механическим замком, с возможностью вертикальной нагрузки до 150 кг, влагозащищенный. </w:t>
            </w:r>
          </w:p>
          <w:p w:rsidR="00D0295C" w:rsidRPr="00130D56" w:rsidRDefault="00D0295C" w:rsidP="00130D56">
            <w:pPr>
              <w:widowControl w:val="0"/>
              <w:ind w:firstLine="274"/>
              <w:contextualSpacing/>
              <w:jc w:val="both"/>
            </w:pPr>
            <w:r w:rsidRPr="00130D56">
              <w:t xml:space="preserve">Влагозащищенная </w:t>
            </w:r>
            <w:proofErr w:type="spellStart"/>
            <w:r w:rsidRPr="00130D56">
              <w:t>углепластиковая</w:t>
            </w:r>
            <w:proofErr w:type="spellEnd"/>
            <w:r w:rsidRPr="00130D56">
              <w:t xml:space="preserve"> стопа должна быть повышенной прочности, с высоким уровнем энергосбережения, с разделенной передней частью, адаптированная как для повседневного использования, так и для принятия гигиенических </w:t>
            </w:r>
            <w:proofErr w:type="spellStart"/>
            <w:r w:rsidRPr="00130D56">
              <w:t>поцедур</w:t>
            </w:r>
            <w:proofErr w:type="spellEnd"/>
            <w:r w:rsidRPr="00130D56">
              <w:t xml:space="preserve">, с возможностью выбора косметической оболочки в зависимости от пола инвалида и ношения обуви с креплением замков между первым и вторым пальцами (сланцы). </w:t>
            </w:r>
          </w:p>
          <w:p w:rsidR="00D0295C" w:rsidRPr="00130D56" w:rsidRDefault="00D0295C" w:rsidP="00130D56">
            <w:pPr>
              <w:widowControl w:val="0"/>
              <w:ind w:firstLine="274"/>
              <w:contextualSpacing/>
              <w:jc w:val="both"/>
            </w:pPr>
            <w:r w:rsidRPr="00130D56">
              <w:t xml:space="preserve">Полуфабрикаты и РСУ должны быть– влагозащищенный материал на нагрузку до 150кг. </w:t>
            </w:r>
          </w:p>
          <w:p w:rsidR="00D0295C" w:rsidRPr="00130D56" w:rsidRDefault="00D0295C" w:rsidP="00130D56">
            <w:pPr>
              <w:widowControl w:val="0"/>
              <w:ind w:firstLine="274"/>
              <w:contextualSpacing/>
              <w:jc w:val="both"/>
            </w:pPr>
            <w:r w:rsidRPr="00130D56">
              <w:t xml:space="preserve">Должно быть наличие влагозащищенного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w:t>
            </w:r>
          </w:p>
          <w:p w:rsidR="00D0295C" w:rsidRPr="00130D56" w:rsidRDefault="00D0295C" w:rsidP="00130D56">
            <w:pPr>
              <w:widowControl w:val="0"/>
              <w:ind w:firstLine="274"/>
              <w:contextualSpacing/>
              <w:jc w:val="both"/>
            </w:pPr>
            <w:r w:rsidRPr="00130D56">
              <w:t xml:space="preserve">Должен быть без косметической облицовки. </w:t>
            </w:r>
          </w:p>
          <w:p w:rsidR="00D0295C" w:rsidRPr="00130D56" w:rsidRDefault="00D0295C" w:rsidP="00AF1664">
            <w:pPr>
              <w:widowControl w:val="0"/>
              <w:ind w:firstLine="274"/>
              <w:contextualSpacing/>
              <w:jc w:val="both"/>
            </w:pPr>
            <w:r w:rsidRPr="00130D56">
              <w:t xml:space="preserve">Крепление должно быть мышечно-вакуумное. </w:t>
            </w:r>
          </w:p>
        </w:tc>
        <w:tc>
          <w:tcPr>
            <w:tcW w:w="360" w:type="pct"/>
          </w:tcPr>
          <w:p w:rsidR="00D0295C" w:rsidRPr="000D352A" w:rsidRDefault="00D0295C" w:rsidP="00130D56">
            <w:pPr>
              <w:keepLines/>
              <w:widowControl w:val="0"/>
              <w:jc w:val="center"/>
            </w:pPr>
            <w:r>
              <w:t>1</w:t>
            </w:r>
          </w:p>
        </w:tc>
        <w:tc>
          <w:tcPr>
            <w:tcW w:w="313" w:type="pct"/>
          </w:tcPr>
          <w:p w:rsidR="00D0295C" w:rsidRPr="000D352A" w:rsidRDefault="00D0295C" w:rsidP="00130D56">
            <w:pPr>
              <w:keepLines/>
              <w:widowControl w:val="0"/>
              <w:jc w:val="center"/>
            </w:pPr>
            <w:r>
              <w:t>штука</w:t>
            </w:r>
          </w:p>
        </w:tc>
        <w:tc>
          <w:tcPr>
            <w:tcW w:w="492" w:type="pct"/>
          </w:tcPr>
          <w:p w:rsidR="00D0295C" w:rsidRPr="000D352A" w:rsidRDefault="00D0295C" w:rsidP="00130D56">
            <w:pPr>
              <w:keepLines/>
              <w:widowControl w:val="0"/>
              <w:jc w:val="center"/>
            </w:pPr>
            <w:r>
              <w:t>876 520,10</w:t>
            </w:r>
          </w:p>
        </w:tc>
        <w:tc>
          <w:tcPr>
            <w:tcW w:w="535" w:type="pct"/>
          </w:tcPr>
          <w:p w:rsidR="00D0295C" w:rsidRPr="000D352A" w:rsidRDefault="00D0295C" w:rsidP="00130D56">
            <w:pPr>
              <w:keepLines/>
              <w:widowControl w:val="0"/>
              <w:jc w:val="center"/>
            </w:pPr>
            <w:r>
              <w:t>876 520,10</w:t>
            </w:r>
          </w:p>
        </w:tc>
      </w:tr>
      <w:tr w:rsidR="00130D56" w:rsidRPr="000D352A" w:rsidTr="00BB3C8F">
        <w:tc>
          <w:tcPr>
            <w:tcW w:w="3661" w:type="pct"/>
            <w:gridSpan w:val="4"/>
          </w:tcPr>
          <w:p w:rsidR="00D0295C" w:rsidRPr="000D352A" w:rsidRDefault="00D0295C" w:rsidP="00C93998">
            <w:pPr>
              <w:keepLines/>
              <w:widowControl w:val="0"/>
              <w:rPr>
                <w:b/>
              </w:rPr>
            </w:pPr>
            <w:r w:rsidRPr="000D352A">
              <w:rPr>
                <w:b/>
              </w:rPr>
              <w:t>ИТОГО:</w:t>
            </w:r>
          </w:p>
        </w:tc>
        <w:tc>
          <w:tcPr>
            <w:tcW w:w="313" w:type="pct"/>
          </w:tcPr>
          <w:p w:rsidR="00D0295C" w:rsidRPr="000D352A" w:rsidRDefault="00D0295C" w:rsidP="00130D56">
            <w:pPr>
              <w:keepLines/>
              <w:widowControl w:val="0"/>
              <w:jc w:val="center"/>
              <w:rPr>
                <w:b/>
              </w:rPr>
            </w:pPr>
            <w:r>
              <w:rPr>
                <w:b/>
              </w:rPr>
              <w:t>6</w:t>
            </w:r>
          </w:p>
        </w:tc>
        <w:tc>
          <w:tcPr>
            <w:tcW w:w="492" w:type="pct"/>
          </w:tcPr>
          <w:p w:rsidR="00D0295C" w:rsidRPr="000D352A" w:rsidRDefault="00D0295C" w:rsidP="00130D56">
            <w:pPr>
              <w:keepLines/>
              <w:widowControl w:val="0"/>
              <w:jc w:val="center"/>
              <w:rPr>
                <w:b/>
              </w:rPr>
            </w:pPr>
          </w:p>
        </w:tc>
        <w:tc>
          <w:tcPr>
            <w:tcW w:w="535" w:type="pct"/>
          </w:tcPr>
          <w:p w:rsidR="00D0295C" w:rsidRPr="000D352A" w:rsidRDefault="00D0295C" w:rsidP="00130D56">
            <w:pPr>
              <w:keepLines/>
              <w:widowControl w:val="0"/>
              <w:jc w:val="center"/>
              <w:rPr>
                <w:b/>
              </w:rPr>
            </w:pPr>
            <w:r>
              <w:rPr>
                <w:b/>
                <w:lang w:eastAsia="en-US"/>
              </w:rPr>
              <w:t>4 013</w:t>
            </w:r>
            <w:r w:rsidRPr="00A452BD">
              <w:rPr>
                <w:b/>
                <w:lang w:eastAsia="en-US"/>
              </w:rPr>
              <w:t xml:space="preserve"> 736,63</w:t>
            </w:r>
          </w:p>
        </w:tc>
      </w:tr>
    </w:tbl>
    <w:p w:rsidR="00D0295C" w:rsidRPr="00D0295C" w:rsidRDefault="00D0295C" w:rsidP="00D0295C">
      <w:pPr>
        <w:ind w:firstLine="567"/>
        <w:jc w:val="both"/>
      </w:pPr>
      <w:r w:rsidRPr="00D0295C">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D0295C">
        <w:t>протезно</w:t>
      </w:r>
      <w:proofErr w:type="spellEnd"/>
      <w:r w:rsidRPr="00D0295C">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D0295C" w:rsidRPr="00D0295C" w:rsidRDefault="00D0295C" w:rsidP="00D0295C">
      <w:pPr>
        <w:ind w:firstLine="567"/>
        <w:jc w:val="both"/>
      </w:pPr>
      <w:r w:rsidRPr="00D0295C">
        <w:rPr>
          <w:b/>
        </w:rPr>
        <w:t>Условия и сроки (периоды) выполнения работ</w:t>
      </w:r>
      <w:r w:rsidRPr="00D0295C">
        <w:t xml:space="preserve">: Срок изготовления </w:t>
      </w:r>
      <w:bookmarkStart w:id="0" w:name="_GoBack"/>
      <w:bookmarkEnd w:id="0"/>
      <w:r w:rsidRPr="00D0295C">
        <w:t xml:space="preserve">протезно-ортопедического изделия не должен превышать 15 календарных дней со дня обращения инвалида с направлением Заказчика. Срок завершения работ должен быть не позднее </w:t>
      </w:r>
      <w:r w:rsidRPr="00D0295C">
        <w:rPr>
          <w:b/>
          <w:bCs/>
        </w:rPr>
        <w:t>15.12.2022</w:t>
      </w:r>
      <w:r w:rsidRPr="00D0295C">
        <w:t xml:space="preserve"> года</w:t>
      </w:r>
      <w:r w:rsidRPr="00D0295C">
        <w:rPr>
          <w:highlight w:val="yellow"/>
        </w:rPr>
        <w:t xml:space="preserve"> </w:t>
      </w:r>
    </w:p>
    <w:p w:rsidR="00D0295C" w:rsidRPr="00D0295C" w:rsidRDefault="00D0295C" w:rsidP="00D0295C">
      <w:pPr>
        <w:ind w:firstLine="567"/>
        <w:jc w:val="both"/>
      </w:pPr>
      <w:r w:rsidRPr="00D0295C">
        <w:rPr>
          <w:b/>
        </w:rPr>
        <w:t>Место выполнения работ:</w:t>
      </w:r>
      <w:r w:rsidRPr="00D0295C">
        <w:t xml:space="preserve"> Выполнение работ в части изготовления изделий должно осуществляться по месту нахождения Исполнителя (Соисполнителя), а в части снятия мерок для дальнейшего изготовления, примерки, выдачи изделия и обучения пользованию изделием - по месту нахождения пунктов, </w:t>
      </w:r>
      <w:r w:rsidRPr="00D0295C">
        <w:rPr>
          <w:bCs/>
        </w:rPr>
        <w:t>организованных в соответствии с приказом Министерства труда и социальной защиты РФ от 30 июля 2015 года №527н</w:t>
      </w:r>
      <w:r w:rsidRPr="00D0295C">
        <w:t xml:space="preserve"> и расположенных на территории </w:t>
      </w:r>
      <w:r w:rsidRPr="00D0295C">
        <w:rPr>
          <w:bCs/>
        </w:rPr>
        <w:t>Краснодарского края.</w:t>
      </w:r>
    </w:p>
    <w:p w:rsidR="00D0295C" w:rsidRPr="00D0295C" w:rsidRDefault="00D0295C" w:rsidP="00D0295C">
      <w:pPr>
        <w:tabs>
          <w:tab w:val="left" w:pos="4284"/>
        </w:tabs>
        <w:ind w:firstLine="567"/>
        <w:jc w:val="both"/>
      </w:pPr>
      <w:r w:rsidRPr="00D0295C">
        <w:t>При этом в населенных пунктах на территории Краснодарского края</w:t>
      </w:r>
      <w:r w:rsidRPr="00D0295C">
        <w:rPr>
          <w:bCs/>
        </w:rPr>
        <w:t xml:space="preserve"> могут располагаться </w:t>
      </w:r>
      <w:r w:rsidRPr="00D0295C">
        <w:t xml:space="preserve">дополнительные пункты </w:t>
      </w:r>
      <w:r w:rsidRPr="00D0295C">
        <w:rPr>
          <w:bCs/>
        </w:rPr>
        <w:t>для снятия мерок для дальнейшего изготовления, примерки, выдачи изделия и обучения пользованию изделием, организованные в соответствии с приказом Министерства труда и социальной защиты РФ от 30 июля 2015 года №527н</w:t>
      </w:r>
      <w:r w:rsidRPr="00D0295C">
        <w:t xml:space="preserve">.       </w:t>
      </w:r>
    </w:p>
    <w:p w:rsidR="00D0295C" w:rsidRPr="00D0295C" w:rsidRDefault="00D0295C" w:rsidP="00D0295C">
      <w:pPr>
        <w:ind w:firstLine="567"/>
        <w:jc w:val="both"/>
      </w:pPr>
      <w:r w:rsidRPr="00D0295C">
        <w:t>Инвалиды I-ой группы должны обслуживаться на дому.</w:t>
      </w:r>
    </w:p>
    <w:p w:rsidR="00D0295C" w:rsidRPr="00D0295C" w:rsidRDefault="00D0295C" w:rsidP="00D0295C">
      <w:pPr>
        <w:ind w:firstLine="567"/>
        <w:jc w:val="both"/>
      </w:pPr>
      <w:r w:rsidRPr="00D0295C">
        <w:rPr>
          <w:b/>
          <w:color w:val="000000"/>
        </w:rPr>
        <w:t>Организация пунктов выдачи:</w:t>
      </w:r>
      <w:r w:rsidRPr="00D0295C">
        <w:rPr>
          <w:color w:val="000000"/>
        </w:rPr>
        <w:t xml:space="preserve"> Доступное для Получателей</w:t>
      </w:r>
      <w:r w:rsidRPr="00D0295C">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D0295C" w:rsidRPr="00D0295C" w:rsidRDefault="00D0295C" w:rsidP="00D0295C">
      <w:pPr>
        <w:widowControl w:val="0"/>
        <w:shd w:val="clear" w:color="auto" w:fill="FFFFFF"/>
        <w:ind w:firstLine="567"/>
        <w:jc w:val="both"/>
      </w:pPr>
      <w:r w:rsidRPr="00D0295C">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D0295C" w:rsidRPr="00D0295C" w:rsidRDefault="00D0295C" w:rsidP="00D0295C">
      <w:pPr>
        <w:widowControl w:val="0"/>
        <w:shd w:val="clear" w:color="auto" w:fill="FFFFFF"/>
        <w:ind w:firstLine="567"/>
        <w:jc w:val="both"/>
      </w:pPr>
      <w:r w:rsidRPr="00D0295C">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D0295C" w:rsidRPr="00D0295C" w:rsidRDefault="00D0295C" w:rsidP="00D0295C">
      <w:pPr>
        <w:widowControl w:val="0"/>
        <w:shd w:val="clear" w:color="auto" w:fill="FFFFFF"/>
        <w:ind w:firstLine="567"/>
        <w:jc w:val="both"/>
        <w:rPr>
          <w:rFonts w:eastAsia="Calibri"/>
        </w:rPr>
      </w:pPr>
      <w:r w:rsidRPr="00D0295C">
        <w:t>Изделия должны находиться на складе пункта (пунктов) приема, обеспечивающем его надлежащее хранение. Изделия не должны находятся в зоне ожидания, в зоне обслуживания, в проходах, на путях эвакуации и других помещениях, не предназначенных для хранения.</w:t>
      </w:r>
      <w:r w:rsidRPr="00D0295C">
        <w:rPr>
          <w:rFonts w:eastAsia="Calibri"/>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D0295C" w:rsidRPr="00D0295C" w:rsidRDefault="00D0295C" w:rsidP="00D0295C">
      <w:pPr>
        <w:ind w:firstLine="567"/>
        <w:jc w:val="both"/>
      </w:pPr>
      <w:r w:rsidRPr="00D0295C">
        <w:rPr>
          <w:b/>
        </w:rPr>
        <w:t>Требования к качеству работ</w:t>
      </w:r>
      <w:r w:rsidRPr="00D0295C">
        <w:t xml:space="preserve">: протезы верхних конечностей должны соответствовать требованиям 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sidRPr="00D0295C">
        <w:t>цитотоксичность</w:t>
      </w:r>
      <w:proofErr w:type="spellEnd"/>
      <w:r w:rsidRPr="00D0295C">
        <w:t xml:space="preserve">: методы </w:t>
      </w:r>
      <w:proofErr w:type="spellStart"/>
      <w:r w:rsidRPr="00D0295C">
        <w:t>in</w:t>
      </w:r>
      <w:proofErr w:type="spellEnd"/>
      <w:r w:rsidRPr="00D0295C">
        <w:t xml:space="preserve"> </w:t>
      </w:r>
      <w:proofErr w:type="spellStart"/>
      <w:r w:rsidRPr="00D0295C">
        <w:t>vitro</w:t>
      </w:r>
      <w:proofErr w:type="spellEnd"/>
      <w:r w:rsidRPr="00D0295C">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Общие технические требования и методы испытаний»</w:t>
      </w:r>
      <w:r w:rsidRPr="00D0295C">
        <w:rPr>
          <w:vertAlign w:val="superscript"/>
        </w:rPr>
        <w:t xml:space="preserve"> </w:t>
      </w:r>
      <w:r w:rsidRPr="00D0295C">
        <w:t xml:space="preserve">Национального стандарта Российской Федерации ГОСТ Р ИСО 22523-2007 «Протезы конечностей и </w:t>
      </w:r>
      <w:proofErr w:type="spellStart"/>
      <w:r w:rsidRPr="00D0295C">
        <w:t>ортезы</w:t>
      </w:r>
      <w:proofErr w:type="spellEnd"/>
      <w:r w:rsidRPr="00D0295C">
        <w:t xml:space="preserve"> наружные. Требования и методы испытаний».</w:t>
      </w:r>
    </w:p>
    <w:p w:rsidR="00D0295C" w:rsidRPr="00D0295C" w:rsidRDefault="00D0295C" w:rsidP="00D0295C">
      <w:pPr>
        <w:ind w:firstLine="567"/>
        <w:jc w:val="both"/>
      </w:pPr>
      <w:r w:rsidRPr="00D0295C">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D0295C" w:rsidRPr="00D0295C" w:rsidRDefault="00D0295C" w:rsidP="00D0295C">
      <w:pPr>
        <w:ind w:firstLine="567"/>
        <w:jc w:val="both"/>
      </w:pPr>
      <w:r w:rsidRPr="00D0295C">
        <w:rPr>
          <w:b/>
        </w:rPr>
        <w:t>Требования к техническим и функциональным характеристикам работ</w:t>
      </w:r>
      <w:r w:rsidRPr="00D0295C">
        <w:t xml:space="preserve">: Выполняемые работы по обеспечению протезами верхних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D0295C" w:rsidRPr="00D0295C" w:rsidRDefault="00D0295C" w:rsidP="00D0295C">
      <w:pPr>
        <w:ind w:firstLine="567"/>
        <w:jc w:val="both"/>
      </w:pPr>
      <w:r w:rsidRPr="00D0295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протеза верхней конечности.</w:t>
      </w:r>
    </w:p>
    <w:p w:rsidR="00D0295C" w:rsidRPr="00D0295C" w:rsidRDefault="00D0295C" w:rsidP="00D0295C">
      <w:pPr>
        <w:ind w:firstLine="567"/>
        <w:jc w:val="both"/>
      </w:pPr>
      <w:r w:rsidRPr="00D0295C">
        <w:rPr>
          <w:b/>
        </w:rPr>
        <w:t>Требования к результатам работ:</w:t>
      </w:r>
      <w:r w:rsidRPr="00D0295C">
        <w:t xml:space="preserve">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D0295C" w:rsidRPr="00D0295C" w:rsidRDefault="00D0295C" w:rsidP="00D0295C">
      <w:pPr>
        <w:ind w:firstLine="567"/>
        <w:jc w:val="both"/>
      </w:pPr>
      <w:r w:rsidRPr="00D0295C">
        <w:rPr>
          <w:b/>
        </w:rPr>
        <w:t xml:space="preserve">Гарантийный срок на протезы </w:t>
      </w:r>
      <w:r w:rsidRPr="00D0295C">
        <w:t>Срок предоставления гарантии должен составлять не менее 9 месяцев с момента выдачи изделия получателю.</w:t>
      </w:r>
    </w:p>
    <w:p w:rsidR="00D0295C" w:rsidRPr="00DD30D9" w:rsidRDefault="00D0295C" w:rsidP="00D0295C">
      <w:pPr>
        <w:ind w:firstLine="567"/>
        <w:jc w:val="both"/>
      </w:pPr>
      <w:r w:rsidRPr="00D0295C">
        <w:t>В течение</w:t>
      </w:r>
      <w:r w:rsidRPr="00DD30D9">
        <w:t xml:space="preserve">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рабочих дней.</w:t>
      </w:r>
    </w:p>
    <w:p w:rsidR="00560C19" w:rsidRDefault="00560C19" w:rsidP="00560C19">
      <w:pPr>
        <w:keepLines/>
        <w:widowControl w:val="0"/>
        <w:tabs>
          <w:tab w:val="left" w:pos="5865"/>
        </w:tabs>
        <w:ind w:firstLine="567"/>
        <w:jc w:val="center"/>
        <w:rPr>
          <w:b/>
        </w:rPr>
      </w:pPr>
    </w:p>
    <w:sectPr w:rsidR="00560C19" w:rsidSect="00BB3C8F">
      <w:pgSz w:w="16838" w:h="11906" w:orient="landscape" w:code="9"/>
      <w:pgMar w:top="567" w:right="820"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D0295C" w:rsidRDefault="00D0295C" w:rsidP="00D0295C">
      <w:pPr>
        <w:pStyle w:val="ac"/>
      </w:pPr>
      <w:r>
        <w:rPr>
          <w:rStyle w:val="ae"/>
        </w:rPr>
        <w:footnoteRef/>
      </w:r>
      <w:r>
        <w:t xml:space="preserve"> Не более</w:t>
      </w:r>
    </w:p>
  </w:footnote>
  <w:footnote w:id="2">
    <w:p w:rsidR="00D0295C" w:rsidRDefault="00D0295C" w:rsidP="00D0295C">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EF3"/>
    <w:rsid w:val="000B6420"/>
    <w:rsid w:val="000C394A"/>
    <w:rsid w:val="000C6420"/>
    <w:rsid w:val="000D0BA0"/>
    <w:rsid w:val="000D352A"/>
    <w:rsid w:val="000D7A56"/>
    <w:rsid w:val="000E1274"/>
    <w:rsid w:val="000E364F"/>
    <w:rsid w:val="000E555C"/>
    <w:rsid w:val="000F1A80"/>
    <w:rsid w:val="000F4BEB"/>
    <w:rsid w:val="000F6B1C"/>
    <w:rsid w:val="000F75E3"/>
    <w:rsid w:val="001056A3"/>
    <w:rsid w:val="00107905"/>
    <w:rsid w:val="00112A63"/>
    <w:rsid w:val="0012790B"/>
    <w:rsid w:val="0013001C"/>
    <w:rsid w:val="00130D56"/>
    <w:rsid w:val="00147374"/>
    <w:rsid w:val="001500ED"/>
    <w:rsid w:val="00151ADC"/>
    <w:rsid w:val="00152D81"/>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210F69"/>
    <w:rsid w:val="00212164"/>
    <w:rsid w:val="00220904"/>
    <w:rsid w:val="00222167"/>
    <w:rsid w:val="002239DA"/>
    <w:rsid w:val="002265D8"/>
    <w:rsid w:val="00232371"/>
    <w:rsid w:val="00246B0F"/>
    <w:rsid w:val="00256275"/>
    <w:rsid w:val="002569AA"/>
    <w:rsid w:val="0027318A"/>
    <w:rsid w:val="00282E38"/>
    <w:rsid w:val="00283357"/>
    <w:rsid w:val="00291CDA"/>
    <w:rsid w:val="00296E32"/>
    <w:rsid w:val="002A4A85"/>
    <w:rsid w:val="002A7B0B"/>
    <w:rsid w:val="002C5B57"/>
    <w:rsid w:val="002C6395"/>
    <w:rsid w:val="002D494A"/>
    <w:rsid w:val="002D5127"/>
    <w:rsid w:val="002E1BBE"/>
    <w:rsid w:val="002F4B3D"/>
    <w:rsid w:val="002F7165"/>
    <w:rsid w:val="003009E7"/>
    <w:rsid w:val="00320E13"/>
    <w:rsid w:val="003309DC"/>
    <w:rsid w:val="003318C8"/>
    <w:rsid w:val="00340EA6"/>
    <w:rsid w:val="00341193"/>
    <w:rsid w:val="00341744"/>
    <w:rsid w:val="00343A5C"/>
    <w:rsid w:val="00345CA0"/>
    <w:rsid w:val="00350723"/>
    <w:rsid w:val="00354D63"/>
    <w:rsid w:val="003577BD"/>
    <w:rsid w:val="00362480"/>
    <w:rsid w:val="003641EB"/>
    <w:rsid w:val="00364E38"/>
    <w:rsid w:val="003666D0"/>
    <w:rsid w:val="00367A3E"/>
    <w:rsid w:val="003810B4"/>
    <w:rsid w:val="0038126E"/>
    <w:rsid w:val="0039159C"/>
    <w:rsid w:val="003A7C30"/>
    <w:rsid w:val="003B251F"/>
    <w:rsid w:val="003C188C"/>
    <w:rsid w:val="003E3B1F"/>
    <w:rsid w:val="003E7AE6"/>
    <w:rsid w:val="003F0AC4"/>
    <w:rsid w:val="003F0B81"/>
    <w:rsid w:val="003F41C6"/>
    <w:rsid w:val="00403C6C"/>
    <w:rsid w:val="00404A09"/>
    <w:rsid w:val="00405097"/>
    <w:rsid w:val="00405132"/>
    <w:rsid w:val="00415CDA"/>
    <w:rsid w:val="004173E9"/>
    <w:rsid w:val="004251A3"/>
    <w:rsid w:val="00426953"/>
    <w:rsid w:val="0043480B"/>
    <w:rsid w:val="00434950"/>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0C19"/>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4194"/>
    <w:rsid w:val="0061072A"/>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055B"/>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1BFF"/>
    <w:rsid w:val="0083560A"/>
    <w:rsid w:val="00837243"/>
    <w:rsid w:val="00842FFA"/>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294C"/>
    <w:rsid w:val="008E4BBF"/>
    <w:rsid w:val="008F4EE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1C19"/>
    <w:rsid w:val="009C4081"/>
    <w:rsid w:val="009C4D69"/>
    <w:rsid w:val="009C7B72"/>
    <w:rsid w:val="009C7BA4"/>
    <w:rsid w:val="009D2728"/>
    <w:rsid w:val="009D3280"/>
    <w:rsid w:val="009D3F78"/>
    <w:rsid w:val="009D6014"/>
    <w:rsid w:val="009E17F2"/>
    <w:rsid w:val="009E2091"/>
    <w:rsid w:val="009E7A33"/>
    <w:rsid w:val="009F16BC"/>
    <w:rsid w:val="00A0403E"/>
    <w:rsid w:val="00A11B3C"/>
    <w:rsid w:val="00A139D8"/>
    <w:rsid w:val="00A15CEF"/>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1664"/>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4CF0"/>
    <w:rsid w:val="00B76290"/>
    <w:rsid w:val="00B806F0"/>
    <w:rsid w:val="00B80AEB"/>
    <w:rsid w:val="00B81981"/>
    <w:rsid w:val="00B87BF9"/>
    <w:rsid w:val="00B87D3C"/>
    <w:rsid w:val="00B9452A"/>
    <w:rsid w:val="00B95999"/>
    <w:rsid w:val="00BA146D"/>
    <w:rsid w:val="00BA2293"/>
    <w:rsid w:val="00BA4662"/>
    <w:rsid w:val="00BA62F3"/>
    <w:rsid w:val="00BB301F"/>
    <w:rsid w:val="00BB3383"/>
    <w:rsid w:val="00BB3C8F"/>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93998"/>
    <w:rsid w:val="00CA3F11"/>
    <w:rsid w:val="00CA5E4A"/>
    <w:rsid w:val="00CC0A3C"/>
    <w:rsid w:val="00CC6448"/>
    <w:rsid w:val="00CD31BF"/>
    <w:rsid w:val="00CD3CA7"/>
    <w:rsid w:val="00CD64D9"/>
    <w:rsid w:val="00CE115B"/>
    <w:rsid w:val="00CF6C7C"/>
    <w:rsid w:val="00D01038"/>
    <w:rsid w:val="00D0295C"/>
    <w:rsid w:val="00D04974"/>
    <w:rsid w:val="00D110E7"/>
    <w:rsid w:val="00D120A6"/>
    <w:rsid w:val="00D17FC6"/>
    <w:rsid w:val="00D26F43"/>
    <w:rsid w:val="00D276D9"/>
    <w:rsid w:val="00D31DA0"/>
    <w:rsid w:val="00D3552D"/>
    <w:rsid w:val="00D42576"/>
    <w:rsid w:val="00D4515A"/>
    <w:rsid w:val="00D45281"/>
    <w:rsid w:val="00D53B94"/>
    <w:rsid w:val="00D53CC7"/>
    <w:rsid w:val="00D5450F"/>
    <w:rsid w:val="00D55733"/>
    <w:rsid w:val="00D55B1D"/>
    <w:rsid w:val="00D6112F"/>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279C"/>
    <w:rsid w:val="00DE2C08"/>
    <w:rsid w:val="00DE3852"/>
    <w:rsid w:val="00DE4B96"/>
    <w:rsid w:val="00DE60E6"/>
    <w:rsid w:val="00DF0402"/>
    <w:rsid w:val="00DF4535"/>
    <w:rsid w:val="00DF4F39"/>
    <w:rsid w:val="00DF659E"/>
    <w:rsid w:val="00DF7D85"/>
    <w:rsid w:val="00E00169"/>
    <w:rsid w:val="00E13CF9"/>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d"/>
    <w:uiPriority w:val="99"/>
    <w:unhideWhenUsed/>
    <w:qFormat/>
    <w:rsid w:val="00F97875"/>
    <w:rPr>
      <w:sz w:val="20"/>
      <w:szCs w:val="20"/>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uiPriority w:val="99"/>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ADE5-70E2-4828-80BD-876ACC0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Лысова Нелли Владимировна</cp:lastModifiedBy>
  <cp:revision>35</cp:revision>
  <cp:lastPrinted>2022-05-26T06:37:00Z</cp:lastPrinted>
  <dcterms:created xsi:type="dcterms:W3CDTF">2022-05-27T10:11:00Z</dcterms:created>
  <dcterms:modified xsi:type="dcterms:W3CDTF">2022-08-26T12:59:00Z</dcterms:modified>
</cp:coreProperties>
</file>