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733" w:rsidRPr="00E75733" w:rsidRDefault="00E75733" w:rsidP="00E75733">
      <w:pPr>
        <w:jc w:val="right"/>
      </w:pPr>
      <w:bookmarkStart w:id="0" w:name="_GoBack"/>
      <w:bookmarkEnd w:id="0"/>
      <w:r w:rsidRPr="00E75733">
        <w:t xml:space="preserve">Приложение № 1 к </w:t>
      </w:r>
      <w:proofErr w:type="spellStart"/>
      <w:r w:rsidRPr="00E75733">
        <w:t>звещению</w:t>
      </w:r>
      <w:proofErr w:type="spellEnd"/>
    </w:p>
    <w:p w:rsidR="00E75733" w:rsidRPr="00E75733" w:rsidRDefault="00E75733" w:rsidP="00E75733">
      <w:pPr>
        <w:jc w:val="right"/>
      </w:pPr>
      <w:r w:rsidRPr="00E75733">
        <w:t>о проведению закупки</w:t>
      </w:r>
    </w:p>
    <w:p w:rsidR="00630E43" w:rsidRPr="00630E43" w:rsidRDefault="00630E43" w:rsidP="00630E43">
      <w:pPr>
        <w:jc w:val="center"/>
        <w:rPr>
          <w:b/>
        </w:rPr>
      </w:pPr>
      <w:r w:rsidRPr="00630E43">
        <w:rPr>
          <w:b/>
        </w:rPr>
        <w:t>Описание объекта закупки (техническое задание)</w:t>
      </w:r>
    </w:p>
    <w:p w:rsidR="00630E43" w:rsidRPr="00630E43" w:rsidRDefault="00630E43" w:rsidP="00630E43">
      <w:pPr>
        <w:jc w:val="center"/>
        <w:rPr>
          <w:b/>
        </w:rPr>
      </w:pPr>
      <w:r w:rsidRPr="00630E43">
        <w:rPr>
          <w:b/>
        </w:rPr>
        <w:t>на выполнение работ по изготовлению аппаратов на нижние конечности (далее – Изделия) для социального обеспечения граждан (далее – Получатели) в 2024 году</w:t>
      </w:r>
    </w:p>
    <w:p w:rsidR="00630E43" w:rsidRPr="00630E43" w:rsidRDefault="00630E43" w:rsidP="00630E43">
      <w:pPr>
        <w:jc w:val="center"/>
        <w:rPr>
          <w:b/>
        </w:rPr>
      </w:pPr>
    </w:p>
    <w:p w:rsidR="00630E43" w:rsidRPr="00630E43" w:rsidRDefault="00630E43" w:rsidP="00630E43">
      <w:pPr>
        <w:jc w:val="both"/>
      </w:pPr>
      <w:r w:rsidRPr="00630E43">
        <w:rPr>
          <w:b/>
        </w:rPr>
        <w:t>Срок изготовления Изделий Получателям:</w:t>
      </w:r>
      <w:r w:rsidRPr="00630E43">
        <w:t xml:space="preserve"> со дня, следующего за днём заключения государственного контракта до 30.09.2024 года (включительно).</w:t>
      </w:r>
    </w:p>
    <w:p w:rsidR="00630E43" w:rsidRPr="00630E43" w:rsidRDefault="00630E43" w:rsidP="00630E43">
      <w:pPr>
        <w:jc w:val="both"/>
        <w:rPr>
          <w:color w:val="FF0000"/>
        </w:rPr>
      </w:pPr>
    </w:p>
    <w:p w:rsidR="00630E43" w:rsidRPr="00630E43" w:rsidRDefault="00630E43" w:rsidP="00630E43">
      <w:r w:rsidRPr="00630E43">
        <w:rPr>
          <w:b/>
        </w:rPr>
        <w:t>Место выполнения работ:</w:t>
      </w:r>
      <w:r w:rsidRPr="00630E43">
        <w:t xml:space="preserve"> Российская Федерация.</w:t>
      </w:r>
    </w:p>
    <w:p w:rsidR="00630E43" w:rsidRPr="00630E43" w:rsidRDefault="00630E43" w:rsidP="00630E43">
      <w:r w:rsidRPr="00630E43">
        <w:rPr>
          <w:b/>
        </w:rPr>
        <w:t>Место жительства (место пребывания, фактического проживания) Получателей</w:t>
      </w:r>
      <w:r w:rsidRPr="00630E43">
        <w:t xml:space="preserve"> </w:t>
      </w:r>
      <w:proofErr w:type="gramStart"/>
      <w:r w:rsidRPr="00630E43">
        <w:rPr>
          <w:b/>
        </w:rPr>
        <w:t>изделий:</w:t>
      </w:r>
      <w:r w:rsidRPr="00630E43">
        <w:t xml:space="preserve">  г.</w:t>
      </w:r>
      <w:proofErr w:type="gramEnd"/>
      <w:r w:rsidRPr="00630E43">
        <w:t> Санкт-Петербург и Ленинградская область.</w:t>
      </w:r>
    </w:p>
    <w:p w:rsidR="00630E43" w:rsidRPr="00630E43" w:rsidRDefault="00630E43" w:rsidP="00630E43">
      <w:pPr>
        <w:ind w:right="-24"/>
        <w:jc w:val="both"/>
        <w:rPr>
          <w:lang w:eastAsia="en-US"/>
        </w:rPr>
      </w:pPr>
    </w:p>
    <w:p w:rsidR="00630E43" w:rsidRPr="00630E43" w:rsidRDefault="00630E43" w:rsidP="00630E43">
      <w:pPr>
        <w:jc w:val="both"/>
      </w:pPr>
      <w:r w:rsidRPr="00630E43">
        <w:rPr>
          <w:lang w:eastAsia="en-US"/>
        </w:rPr>
        <w:t>1.</w:t>
      </w:r>
      <w:r w:rsidRPr="00630E43">
        <w:t>Исполнитель обязан обеспечить выполнение работ по наименованию, в количестве и в сроки, предъявляемыми в настоящем техническом задании, в период действия государственного контракта.</w:t>
      </w:r>
    </w:p>
    <w:p w:rsidR="00630E43" w:rsidRPr="00630E43" w:rsidRDefault="00630E43" w:rsidP="00630E43">
      <w:pPr>
        <w:autoSpaceDE w:val="0"/>
        <w:autoSpaceDN w:val="0"/>
        <w:adjustRightInd w:val="0"/>
        <w:jc w:val="both"/>
      </w:pPr>
      <w:r w:rsidRPr="00630E43">
        <w:rPr>
          <w:lang w:eastAsia="en-US"/>
        </w:rPr>
        <w:t xml:space="preserve">2. </w:t>
      </w:r>
      <w:r w:rsidRPr="00630E43">
        <w:t xml:space="preserve">Исполнитель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Изделие подлежит регистрации), и (или) декларации о соответствии или сертификата соответствия изготовляемого Изделия либо иных документов, свидетельствующих о качестве и безопасности Изделия, предусмотренных действующим законодательством Российской Федерации (при наличии). В случае окончания срока действия указанных документов до полного исполнения обязательств по государственному контракту Исполнитель в установленные законодательством Российской Федерации сроки обязан обеспечить их продление либо получение новых.    </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6379"/>
        <w:gridCol w:w="1133"/>
      </w:tblGrid>
      <w:tr w:rsidR="00630E43" w:rsidRPr="00630E43" w:rsidTr="00310131">
        <w:tc>
          <w:tcPr>
            <w:tcW w:w="567" w:type="dxa"/>
            <w:shd w:val="clear" w:color="auto" w:fill="auto"/>
          </w:tcPr>
          <w:p w:rsidR="00630E43" w:rsidRPr="00630E43" w:rsidRDefault="00630E43" w:rsidP="00630E43">
            <w:pPr>
              <w:jc w:val="center"/>
              <w:rPr>
                <w:b/>
                <w:sz w:val="21"/>
                <w:szCs w:val="21"/>
              </w:rPr>
            </w:pPr>
            <w:r w:rsidRPr="00630E43">
              <w:rPr>
                <w:b/>
                <w:sz w:val="21"/>
                <w:szCs w:val="21"/>
              </w:rPr>
              <w:t>№</w:t>
            </w:r>
          </w:p>
          <w:p w:rsidR="00630E43" w:rsidRPr="00630E43" w:rsidRDefault="00630E43" w:rsidP="00630E43">
            <w:pPr>
              <w:jc w:val="center"/>
              <w:rPr>
                <w:b/>
                <w:sz w:val="21"/>
                <w:szCs w:val="21"/>
              </w:rPr>
            </w:pPr>
            <w:r w:rsidRPr="00630E43">
              <w:rPr>
                <w:b/>
                <w:sz w:val="21"/>
                <w:szCs w:val="21"/>
              </w:rPr>
              <w:t>п/п</w:t>
            </w:r>
          </w:p>
        </w:tc>
        <w:tc>
          <w:tcPr>
            <w:tcW w:w="1843" w:type="dxa"/>
          </w:tcPr>
          <w:p w:rsidR="00630E43" w:rsidRPr="00630E43" w:rsidRDefault="00630E43" w:rsidP="00630E43">
            <w:pPr>
              <w:jc w:val="center"/>
              <w:rPr>
                <w:b/>
                <w:sz w:val="21"/>
                <w:szCs w:val="21"/>
              </w:rPr>
            </w:pPr>
            <w:r w:rsidRPr="00630E43">
              <w:rPr>
                <w:b/>
                <w:sz w:val="21"/>
                <w:szCs w:val="21"/>
              </w:rPr>
              <w:t>Наименование Изделия</w:t>
            </w:r>
          </w:p>
          <w:p w:rsidR="00630E43" w:rsidRPr="00630E43" w:rsidRDefault="00630E43" w:rsidP="00630E43">
            <w:pPr>
              <w:jc w:val="center"/>
              <w:rPr>
                <w:b/>
                <w:sz w:val="21"/>
                <w:szCs w:val="21"/>
              </w:rPr>
            </w:pPr>
          </w:p>
        </w:tc>
        <w:tc>
          <w:tcPr>
            <w:tcW w:w="6379" w:type="dxa"/>
            <w:shd w:val="clear" w:color="auto" w:fill="auto"/>
          </w:tcPr>
          <w:p w:rsidR="00630E43" w:rsidRPr="00630E43" w:rsidRDefault="00630E43" w:rsidP="00630E43">
            <w:pPr>
              <w:jc w:val="center"/>
              <w:rPr>
                <w:b/>
                <w:sz w:val="21"/>
                <w:szCs w:val="21"/>
              </w:rPr>
            </w:pPr>
            <w:r w:rsidRPr="00630E43">
              <w:rPr>
                <w:b/>
                <w:sz w:val="21"/>
                <w:szCs w:val="21"/>
              </w:rPr>
              <w:t>Характеристика Изделия</w:t>
            </w:r>
          </w:p>
        </w:tc>
        <w:tc>
          <w:tcPr>
            <w:tcW w:w="1133" w:type="dxa"/>
            <w:shd w:val="clear" w:color="auto" w:fill="auto"/>
          </w:tcPr>
          <w:p w:rsidR="00630E43" w:rsidRPr="00630E43" w:rsidRDefault="00630E43" w:rsidP="00630E43">
            <w:pPr>
              <w:jc w:val="center"/>
              <w:rPr>
                <w:b/>
                <w:sz w:val="21"/>
                <w:szCs w:val="21"/>
              </w:rPr>
            </w:pPr>
            <w:r w:rsidRPr="00630E43">
              <w:rPr>
                <w:b/>
                <w:sz w:val="21"/>
                <w:szCs w:val="21"/>
              </w:rPr>
              <w:t>Кол-во</w:t>
            </w:r>
          </w:p>
          <w:p w:rsidR="00630E43" w:rsidRPr="00630E43" w:rsidRDefault="00630E43" w:rsidP="00630E43">
            <w:pPr>
              <w:jc w:val="center"/>
              <w:rPr>
                <w:b/>
                <w:sz w:val="21"/>
                <w:szCs w:val="21"/>
              </w:rPr>
            </w:pPr>
            <w:r w:rsidRPr="00630E43">
              <w:rPr>
                <w:b/>
                <w:sz w:val="21"/>
                <w:szCs w:val="21"/>
              </w:rPr>
              <w:t>(шт.)</w:t>
            </w:r>
          </w:p>
          <w:p w:rsidR="00630E43" w:rsidRPr="00630E43" w:rsidRDefault="00630E43" w:rsidP="00630E43">
            <w:pPr>
              <w:jc w:val="center"/>
              <w:rPr>
                <w:b/>
                <w:sz w:val="21"/>
                <w:szCs w:val="21"/>
              </w:rPr>
            </w:pPr>
          </w:p>
        </w:tc>
      </w:tr>
      <w:tr w:rsidR="00630E43" w:rsidRPr="00630E43" w:rsidTr="00310131">
        <w:trPr>
          <w:trHeight w:val="2269"/>
        </w:trPr>
        <w:tc>
          <w:tcPr>
            <w:tcW w:w="567" w:type="dxa"/>
            <w:shd w:val="clear" w:color="auto" w:fill="auto"/>
          </w:tcPr>
          <w:p w:rsidR="00630E43" w:rsidRPr="00630E43" w:rsidRDefault="00630E43" w:rsidP="00630E43">
            <w:r w:rsidRPr="00630E43">
              <w:t>1.</w:t>
            </w:r>
          </w:p>
        </w:tc>
        <w:tc>
          <w:tcPr>
            <w:tcW w:w="1843" w:type="dxa"/>
          </w:tcPr>
          <w:p w:rsidR="00630E43" w:rsidRPr="00630E43" w:rsidRDefault="00630E43" w:rsidP="00630E43">
            <w:pPr>
              <w:tabs>
                <w:tab w:val="left" w:pos="9180"/>
              </w:tabs>
              <w:suppressAutoHyphens/>
              <w:spacing w:line="240" w:lineRule="atLeast"/>
              <w:ind w:left="-95"/>
            </w:pPr>
            <w:r w:rsidRPr="00630E43">
              <w:t>Аппарат на голеностопный сустав</w:t>
            </w:r>
          </w:p>
        </w:tc>
        <w:tc>
          <w:tcPr>
            <w:tcW w:w="6379" w:type="dxa"/>
            <w:shd w:val="clear" w:color="auto" w:fill="auto"/>
          </w:tcPr>
          <w:p w:rsidR="00630E43" w:rsidRPr="00630E43" w:rsidRDefault="00630E43" w:rsidP="00630E43">
            <w:r w:rsidRPr="00630E43">
              <w:t xml:space="preserve">Ортопедический аппарат на голеностопный сустав. Изготавливается по индивидуальным размерам Получателя. </w:t>
            </w:r>
          </w:p>
          <w:p w:rsidR="00630E43" w:rsidRPr="00630E43" w:rsidRDefault="00630E43" w:rsidP="00630E43">
            <w:r w:rsidRPr="00630E43">
              <w:t>Г</w:t>
            </w:r>
            <w:r w:rsidRPr="00630E43">
              <w:rPr>
                <w:rFonts w:eastAsia="Arial Unicode MS"/>
                <w:color w:val="000000"/>
              </w:rPr>
              <w:t>ильза голени.</w:t>
            </w:r>
          </w:p>
          <w:p w:rsidR="00630E43" w:rsidRPr="00630E43" w:rsidRDefault="00630E43" w:rsidP="00630E43">
            <w:r w:rsidRPr="00630E43">
              <w:rPr>
                <w:rFonts w:eastAsia="Arial Unicode MS"/>
                <w:color w:val="000000"/>
              </w:rPr>
              <w:t>Гильза стопы.</w:t>
            </w:r>
          </w:p>
          <w:p w:rsidR="00630E43" w:rsidRPr="00630E43" w:rsidRDefault="00630E43" w:rsidP="00630E43">
            <w:r w:rsidRPr="00630E43">
              <w:rPr>
                <w:rFonts w:eastAsia="Arial Unicode MS"/>
                <w:color w:val="000000"/>
              </w:rPr>
              <w:t>Элементы крепления.</w:t>
            </w:r>
          </w:p>
          <w:p w:rsidR="00630E43" w:rsidRPr="00630E43" w:rsidRDefault="00630E43" w:rsidP="00630E43">
            <w:r w:rsidRPr="00630E43">
              <w:rPr>
                <w:rFonts w:eastAsia="Arial Unicode MS"/>
                <w:color w:val="000000"/>
              </w:rPr>
              <w:t>Шины.</w:t>
            </w:r>
          </w:p>
          <w:p w:rsidR="00630E43" w:rsidRPr="00630E43" w:rsidRDefault="00630E43" w:rsidP="00630E43">
            <w:r w:rsidRPr="00630E43">
              <w:rPr>
                <w:rFonts w:eastAsia="Arial Unicode MS"/>
                <w:color w:val="000000"/>
              </w:rPr>
              <w:t>Шарнирные соединения.</w:t>
            </w:r>
          </w:p>
        </w:tc>
        <w:tc>
          <w:tcPr>
            <w:tcW w:w="1133" w:type="dxa"/>
            <w:shd w:val="clear" w:color="auto" w:fill="auto"/>
          </w:tcPr>
          <w:p w:rsidR="00630E43" w:rsidRPr="00630E43" w:rsidRDefault="00630E43" w:rsidP="00630E43">
            <w:pPr>
              <w:jc w:val="center"/>
            </w:pPr>
            <w:r w:rsidRPr="00630E43">
              <w:t>156</w:t>
            </w:r>
          </w:p>
        </w:tc>
      </w:tr>
      <w:tr w:rsidR="00630E43" w:rsidRPr="00630E43" w:rsidTr="00310131">
        <w:trPr>
          <w:trHeight w:val="2246"/>
        </w:trPr>
        <w:tc>
          <w:tcPr>
            <w:tcW w:w="567" w:type="dxa"/>
            <w:shd w:val="clear" w:color="auto" w:fill="auto"/>
          </w:tcPr>
          <w:p w:rsidR="00630E43" w:rsidRPr="00630E43" w:rsidRDefault="00630E43" w:rsidP="00630E43">
            <w:r w:rsidRPr="00630E43">
              <w:t xml:space="preserve">2. </w:t>
            </w:r>
          </w:p>
        </w:tc>
        <w:tc>
          <w:tcPr>
            <w:tcW w:w="1843" w:type="dxa"/>
          </w:tcPr>
          <w:p w:rsidR="00630E43" w:rsidRPr="00630E43" w:rsidRDefault="00630E43" w:rsidP="00630E43">
            <w:pPr>
              <w:tabs>
                <w:tab w:val="left" w:pos="9180"/>
              </w:tabs>
              <w:suppressAutoHyphens/>
              <w:spacing w:line="240" w:lineRule="atLeast"/>
              <w:ind w:left="-95"/>
            </w:pPr>
            <w:r w:rsidRPr="00630E43">
              <w:t>Аппарат на голеностопный и коленный суставы</w:t>
            </w:r>
          </w:p>
        </w:tc>
        <w:tc>
          <w:tcPr>
            <w:tcW w:w="6379" w:type="dxa"/>
            <w:shd w:val="clear" w:color="auto" w:fill="auto"/>
          </w:tcPr>
          <w:p w:rsidR="00630E43" w:rsidRPr="00630E43" w:rsidRDefault="00630E43" w:rsidP="00630E43">
            <w:r w:rsidRPr="00630E43">
              <w:t>Ортопедический аппарат на голеностопный и коленный суставы. Изготавливается по индивидуальным размерам Получателя.</w:t>
            </w:r>
          </w:p>
          <w:p w:rsidR="00630E43" w:rsidRPr="00630E43" w:rsidRDefault="00630E43" w:rsidP="00630E43">
            <w:r w:rsidRPr="00FD03F2">
              <w:t>Гильз</w:t>
            </w:r>
            <w:r w:rsidRPr="00630E43">
              <w:t xml:space="preserve"> на бедро.</w:t>
            </w:r>
          </w:p>
          <w:p w:rsidR="00630E43" w:rsidRPr="00630E43" w:rsidRDefault="00630E43" w:rsidP="00630E43">
            <w:r w:rsidRPr="00630E43">
              <w:t>Гильза голени.</w:t>
            </w:r>
          </w:p>
          <w:p w:rsidR="00630E43" w:rsidRPr="00630E43" w:rsidRDefault="00630E43" w:rsidP="00630E43">
            <w:r w:rsidRPr="00630E43">
              <w:t>Гильза стопы.</w:t>
            </w:r>
          </w:p>
          <w:p w:rsidR="00630E43" w:rsidRPr="00630E43" w:rsidRDefault="00630E43" w:rsidP="00630E43">
            <w:r w:rsidRPr="00630E43">
              <w:t>Шины.</w:t>
            </w:r>
          </w:p>
          <w:p w:rsidR="00630E43" w:rsidRPr="00630E43" w:rsidRDefault="00630E43" w:rsidP="00630E43">
            <w:r w:rsidRPr="00630E43">
              <w:rPr>
                <w:rFonts w:eastAsia="Arial Unicode MS"/>
                <w:color w:val="000000"/>
              </w:rPr>
              <w:t>Шарнирные соединения.</w:t>
            </w:r>
          </w:p>
        </w:tc>
        <w:tc>
          <w:tcPr>
            <w:tcW w:w="1133" w:type="dxa"/>
            <w:shd w:val="clear" w:color="auto" w:fill="auto"/>
          </w:tcPr>
          <w:p w:rsidR="00630E43" w:rsidRPr="00630E43" w:rsidRDefault="00630E43" w:rsidP="00630E43">
            <w:pPr>
              <w:jc w:val="center"/>
            </w:pPr>
            <w:r w:rsidRPr="00630E43">
              <w:t>11</w:t>
            </w:r>
          </w:p>
        </w:tc>
      </w:tr>
      <w:tr w:rsidR="00630E43" w:rsidRPr="00630E43" w:rsidTr="00310131">
        <w:trPr>
          <w:trHeight w:val="2258"/>
        </w:trPr>
        <w:tc>
          <w:tcPr>
            <w:tcW w:w="567" w:type="dxa"/>
            <w:shd w:val="clear" w:color="auto" w:fill="auto"/>
          </w:tcPr>
          <w:p w:rsidR="00630E43" w:rsidRPr="00630E43" w:rsidRDefault="00630E43" w:rsidP="00630E43">
            <w:r w:rsidRPr="00630E43">
              <w:t>3.</w:t>
            </w:r>
          </w:p>
        </w:tc>
        <w:tc>
          <w:tcPr>
            <w:tcW w:w="1843" w:type="dxa"/>
          </w:tcPr>
          <w:p w:rsidR="00630E43" w:rsidRPr="00630E43" w:rsidRDefault="00630E43" w:rsidP="00630E43">
            <w:pPr>
              <w:suppressAutoHyphens/>
              <w:spacing w:line="16" w:lineRule="atLeast"/>
            </w:pPr>
            <w:r w:rsidRPr="00630E43">
              <w:t>Аппарат на коленный сустав</w:t>
            </w:r>
          </w:p>
        </w:tc>
        <w:tc>
          <w:tcPr>
            <w:tcW w:w="6379" w:type="dxa"/>
            <w:shd w:val="clear" w:color="auto" w:fill="auto"/>
          </w:tcPr>
          <w:p w:rsidR="00630E43" w:rsidRPr="00630E43" w:rsidRDefault="00630E43" w:rsidP="00630E43">
            <w:r w:rsidRPr="00630E43">
              <w:t xml:space="preserve">Ортопедический аппарат на коленный сустав. Изготавливается по индивидуальным размерам Получателя. </w:t>
            </w:r>
          </w:p>
          <w:p w:rsidR="00630E43" w:rsidRPr="00630E43" w:rsidRDefault="00630E43" w:rsidP="00630E43">
            <w:r w:rsidRPr="00630E43">
              <w:t>Г</w:t>
            </w:r>
            <w:r w:rsidRPr="00630E43">
              <w:rPr>
                <w:rFonts w:eastAsia="Arial Unicode MS"/>
                <w:color w:val="000000"/>
              </w:rPr>
              <w:t>ильза голени.</w:t>
            </w:r>
          </w:p>
          <w:p w:rsidR="00630E43" w:rsidRPr="00630E43" w:rsidRDefault="00630E43" w:rsidP="00630E43">
            <w:r w:rsidRPr="00630E43">
              <w:rPr>
                <w:rFonts w:eastAsia="Arial Unicode MS"/>
                <w:color w:val="000000"/>
              </w:rPr>
              <w:t>Гильза бедра.</w:t>
            </w:r>
          </w:p>
          <w:p w:rsidR="00630E43" w:rsidRPr="00630E43" w:rsidRDefault="00630E43" w:rsidP="00630E43">
            <w:r w:rsidRPr="00630E43">
              <w:rPr>
                <w:rFonts w:eastAsia="Arial Unicode MS"/>
                <w:color w:val="000000"/>
              </w:rPr>
              <w:t>Элементы крепления.</w:t>
            </w:r>
          </w:p>
          <w:p w:rsidR="00630E43" w:rsidRPr="00630E43" w:rsidRDefault="00630E43" w:rsidP="00630E43">
            <w:r w:rsidRPr="00630E43">
              <w:rPr>
                <w:rFonts w:eastAsia="Arial Unicode MS"/>
                <w:color w:val="000000"/>
              </w:rPr>
              <w:t>Шины.</w:t>
            </w:r>
          </w:p>
          <w:p w:rsidR="00630E43" w:rsidRPr="00630E43" w:rsidRDefault="00630E43" w:rsidP="00630E43">
            <w:r w:rsidRPr="00630E43">
              <w:rPr>
                <w:rFonts w:eastAsia="Arial Unicode MS"/>
                <w:color w:val="000000"/>
              </w:rPr>
              <w:t>Шарнирные соединения.</w:t>
            </w:r>
          </w:p>
        </w:tc>
        <w:tc>
          <w:tcPr>
            <w:tcW w:w="1133" w:type="dxa"/>
            <w:shd w:val="clear" w:color="auto" w:fill="auto"/>
          </w:tcPr>
          <w:p w:rsidR="00630E43" w:rsidRPr="00630E43" w:rsidRDefault="00630E43" w:rsidP="00630E43">
            <w:pPr>
              <w:jc w:val="center"/>
            </w:pPr>
            <w:r w:rsidRPr="00630E43">
              <w:t>76</w:t>
            </w:r>
          </w:p>
        </w:tc>
      </w:tr>
      <w:tr w:rsidR="00630E43" w:rsidRPr="00630E43" w:rsidTr="00310131">
        <w:trPr>
          <w:trHeight w:val="1114"/>
        </w:trPr>
        <w:tc>
          <w:tcPr>
            <w:tcW w:w="567" w:type="dxa"/>
            <w:vMerge w:val="restart"/>
            <w:shd w:val="clear" w:color="auto" w:fill="auto"/>
          </w:tcPr>
          <w:p w:rsidR="00630E43" w:rsidRPr="00630E43" w:rsidRDefault="00630E43" w:rsidP="00630E43">
            <w:r w:rsidRPr="00630E43">
              <w:t>4.</w:t>
            </w:r>
          </w:p>
        </w:tc>
        <w:tc>
          <w:tcPr>
            <w:tcW w:w="1843" w:type="dxa"/>
            <w:vMerge w:val="restart"/>
          </w:tcPr>
          <w:p w:rsidR="00630E43" w:rsidRPr="00630E43" w:rsidRDefault="00630E43" w:rsidP="00630E43">
            <w:pPr>
              <w:suppressAutoHyphens/>
              <w:spacing w:line="16" w:lineRule="atLeast"/>
            </w:pPr>
            <w:r w:rsidRPr="00630E43">
              <w:t>Аппарат на всю ногу</w:t>
            </w:r>
          </w:p>
        </w:tc>
        <w:tc>
          <w:tcPr>
            <w:tcW w:w="6379" w:type="dxa"/>
            <w:shd w:val="clear" w:color="auto" w:fill="auto"/>
          </w:tcPr>
          <w:p w:rsidR="00630E43" w:rsidRPr="00630E43" w:rsidRDefault="00630E43" w:rsidP="00630E43">
            <w:r w:rsidRPr="00630E43">
              <w:rPr>
                <w:color w:val="000000"/>
              </w:rPr>
              <w:t xml:space="preserve">Ортопедический аппарат </w:t>
            </w:r>
            <w:r w:rsidRPr="00630E43">
              <w:t>на всю ногу</w:t>
            </w:r>
            <w:r w:rsidRPr="00630E43">
              <w:rPr>
                <w:color w:val="000000"/>
              </w:rPr>
              <w:t xml:space="preserve">. Изготавливается по </w:t>
            </w:r>
            <w:r w:rsidRPr="00630E43">
              <w:t xml:space="preserve">индивидуальным размерам Получателя. </w:t>
            </w:r>
          </w:p>
          <w:p w:rsidR="00630E43" w:rsidRPr="00630E43" w:rsidRDefault="00630E43" w:rsidP="00630E43">
            <w:r w:rsidRPr="00630E43">
              <w:t>Г</w:t>
            </w:r>
            <w:r w:rsidRPr="00630E43">
              <w:rPr>
                <w:rFonts w:eastAsia="Arial Unicode MS"/>
                <w:color w:val="000000"/>
              </w:rPr>
              <w:t>ильза голени.</w:t>
            </w:r>
          </w:p>
        </w:tc>
        <w:tc>
          <w:tcPr>
            <w:tcW w:w="1133" w:type="dxa"/>
            <w:vMerge w:val="restart"/>
            <w:shd w:val="clear" w:color="auto" w:fill="auto"/>
          </w:tcPr>
          <w:p w:rsidR="00630E43" w:rsidRPr="00630E43" w:rsidRDefault="00630E43" w:rsidP="00630E43">
            <w:pPr>
              <w:jc w:val="center"/>
            </w:pPr>
            <w:r w:rsidRPr="00630E43">
              <w:t>111</w:t>
            </w:r>
          </w:p>
        </w:tc>
      </w:tr>
      <w:tr w:rsidR="00630E43" w:rsidRPr="00630E43" w:rsidTr="00310131">
        <w:trPr>
          <w:trHeight w:val="1420"/>
        </w:trPr>
        <w:tc>
          <w:tcPr>
            <w:tcW w:w="567" w:type="dxa"/>
            <w:vMerge/>
            <w:shd w:val="clear" w:color="auto" w:fill="auto"/>
          </w:tcPr>
          <w:p w:rsidR="00630E43" w:rsidRPr="00630E43" w:rsidRDefault="00630E43" w:rsidP="00630E43"/>
        </w:tc>
        <w:tc>
          <w:tcPr>
            <w:tcW w:w="1843" w:type="dxa"/>
            <w:vMerge/>
          </w:tcPr>
          <w:p w:rsidR="00630E43" w:rsidRPr="00630E43" w:rsidRDefault="00630E43" w:rsidP="00630E43">
            <w:pPr>
              <w:suppressAutoHyphens/>
              <w:spacing w:line="16" w:lineRule="atLeast"/>
            </w:pPr>
          </w:p>
        </w:tc>
        <w:tc>
          <w:tcPr>
            <w:tcW w:w="6379" w:type="dxa"/>
            <w:shd w:val="clear" w:color="auto" w:fill="auto"/>
          </w:tcPr>
          <w:p w:rsidR="00630E43" w:rsidRPr="00630E43" w:rsidRDefault="00630E43" w:rsidP="00630E43">
            <w:pPr>
              <w:rPr>
                <w:color w:val="000000"/>
              </w:rPr>
            </w:pPr>
            <w:r w:rsidRPr="00630E43">
              <w:rPr>
                <w:rFonts w:eastAsia="Arial Unicode MS"/>
                <w:color w:val="000000"/>
              </w:rPr>
              <w:t>Гильза бедра.</w:t>
            </w:r>
          </w:p>
          <w:p w:rsidR="00630E43" w:rsidRPr="00630E43" w:rsidRDefault="00630E43" w:rsidP="00630E43">
            <w:pPr>
              <w:rPr>
                <w:color w:val="000000"/>
              </w:rPr>
            </w:pPr>
            <w:r w:rsidRPr="00630E43">
              <w:t>Гильза стопы.</w:t>
            </w:r>
          </w:p>
          <w:p w:rsidR="00630E43" w:rsidRPr="00630E43" w:rsidRDefault="00630E43" w:rsidP="00630E43">
            <w:pPr>
              <w:rPr>
                <w:color w:val="000000"/>
              </w:rPr>
            </w:pPr>
            <w:r w:rsidRPr="00630E43">
              <w:rPr>
                <w:rFonts w:eastAsia="Arial Unicode MS"/>
                <w:color w:val="000000"/>
              </w:rPr>
              <w:t>Элементы крепления.</w:t>
            </w:r>
          </w:p>
          <w:p w:rsidR="00630E43" w:rsidRPr="00630E43" w:rsidRDefault="00630E43" w:rsidP="00630E43">
            <w:pPr>
              <w:rPr>
                <w:color w:val="000000"/>
              </w:rPr>
            </w:pPr>
            <w:r w:rsidRPr="00630E43">
              <w:rPr>
                <w:rFonts w:eastAsia="Arial Unicode MS"/>
                <w:color w:val="000000"/>
              </w:rPr>
              <w:t>Шины.</w:t>
            </w:r>
          </w:p>
          <w:p w:rsidR="00630E43" w:rsidRPr="00630E43" w:rsidRDefault="00630E43" w:rsidP="00630E43">
            <w:r w:rsidRPr="00630E43">
              <w:rPr>
                <w:rFonts w:eastAsia="Arial Unicode MS"/>
                <w:color w:val="000000"/>
              </w:rPr>
              <w:t>Шарнирные соединения.</w:t>
            </w:r>
          </w:p>
        </w:tc>
        <w:tc>
          <w:tcPr>
            <w:tcW w:w="1133" w:type="dxa"/>
            <w:vMerge/>
            <w:shd w:val="clear" w:color="auto" w:fill="auto"/>
          </w:tcPr>
          <w:p w:rsidR="00630E43" w:rsidRPr="00630E43" w:rsidRDefault="00630E43" w:rsidP="00630E43">
            <w:pPr>
              <w:jc w:val="center"/>
              <w:rPr>
                <w:highlight w:val="yellow"/>
              </w:rPr>
            </w:pPr>
          </w:p>
        </w:tc>
      </w:tr>
      <w:tr w:rsidR="00630E43" w:rsidRPr="00630E43" w:rsidTr="00310131">
        <w:trPr>
          <w:trHeight w:val="2813"/>
        </w:trPr>
        <w:tc>
          <w:tcPr>
            <w:tcW w:w="567" w:type="dxa"/>
            <w:shd w:val="clear" w:color="auto" w:fill="auto"/>
          </w:tcPr>
          <w:p w:rsidR="00630E43" w:rsidRPr="00630E43" w:rsidRDefault="00630E43" w:rsidP="00630E43">
            <w:r w:rsidRPr="00630E43">
              <w:t>5.</w:t>
            </w:r>
          </w:p>
        </w:tc>
        <w:tc>
          <w:tcPr>
            <w:tcW w:w="1843" w:type="dxa"/>
          </w:tcPr>
          <w:p w:rsidR="00630E43" w:rsidRPr="00630E43" w:rsidRDefault="00630E43" w:rsidP="00630E43">
            <w:pPr>
              <w:autoSpaceDE w:val="0"/>
              <w:autoSpaceDN w:val="0"/>
              <w:adjustRightInd w:val="0"/>
            </w:pPr>
            <w:r w:rsidRPr="00630E43">
              <w:t>Аппарат на нижние конечности и туловище (</w:t>
            </w:r>
            <w:proofErr w:type="spellStart"/>
            <w:r w:rsidRPr="00630E43">
              <w:t>ортез</w:t>
            </w:r>
            <w:proofErr w:type="spellEnd"/>
            <w:r w:rsidRPr="00630E43">
              <w:t>)</w:t>
            </w:r>
          </w:p>
          <w:p w:rsidR="00630E43" w:rsidRPr="00630E43" w:rsidRDefault="00630E43" w:rsidP="00630E43">
            <w:pPr>
              <w:autoSpaceDE w:val="0"/>
              <w:autoSpaceDN w:val="0"/>
              <w:adjustRightInd w:val="0"/>
            </w:pPr>
          </w:p>
        </w:tc>
        <w:tc>
          <w:tcPr>
            <w:tcW w:w="6379" w:type="dxa"/>
            <w:shd w:val="clear" w:color="auto" w:fill="auto"/>
          </w:tcPr>
          <w:p w:rsidR="00630E43" w:rsidRPr="00630E43" w:rsidRDefault="00630E43" w:rsidP="00630E43">
            <w:pPr>
              <w:suppressAutoHyphens/>
            </w:pPr>
            <w:r w:rsidRPr="00630E43">
              <w:t xml:space="preserve">Ортопедическое Изделие, состоящее из двух аппаратов на всю ногу, соединенных с </w:t>
            </w:r>
            <w:proofErr w:type="spellStart"/>
            <w:r w:rsidRPr="00630E43">
              <w:t>полукорсетом</w:t>
            </w:r>
            <w:proofErr w:type="spellEnd"/>
            <w:r w:rsidRPr="00630E43">
              <w:t xml:space="preserve"> тазобедренными шарнирами.</w:t>
            </w:r>
          </w:p>
          <w:p w:rsidR="00630E43" w:rsidRPr="00630E43" w:rsidRDefault="00630E43" w:rsidP="00630E43">
            <w:pPr>
              <w:suppressAutoHyphens/>
            </w:pPr>
            <w:r w:rsidRPr="00630E43">
              <w:t xml:space="preserve">Гильзы аппаратов и </w:t>
            </w:r>
            <w:proofErr w:type="spellStart"/>
            <w:r w:rsidRPr="00630E43">
              <w:t>полукорсета</w:t>
            </w:r>
            <w:proofErr w:type="spellEnd"/>
            <w:r w:rsidRPr="00630E43">
              <w:t xml:space="preserve"> изготавливаются я с учетом размеров и веса Получателя по индивидуальному слепку.</w:t>
            </w:r>
          </w:p>
          <w:p w:rsidR="00630E43" w:rsidRPr="00630E43" w:rsidRDefault="00630E43" w:rsidP="00630E43">
            <w:pPr>
              <w:suppressAutoHyphens/>
            </w:pPr>
            <w:r w:rsidRPr="00630E43">
              <w:t>Ложемент стопы.</w:t>
            </w:r>
          </w:p>
          <w:p w:rsidR="00630E43" w:rsidRPr="00630E43" w:rsidRDefault="00630E43" w:rsidP="00630E43">
            <w:pPr>
              <w:suppressAutoHyphens/>
            </w:pPr>
            <w:r w:rsidRPr="00630E43">
              <w:t>Элементы крепления.</w:t>
            </w:r>
          </w:p>
          <w:p w:rsidR="00630E43" w:rsidRPr="00630E43" w:rsidRDefault="00630E43" w:rsidP="00630E43">
            <w:pPr>
              <w:suppressAutoHyphens/>
            </w:pPr>
            <w:r w:rsidRPr="00630E43">
              <w:t>Шарнирные соединения.</w:t>
            </w:r>
          </w:p>
          <w:p w:rsidR="00630E43" w:rsidRPr="00630E43" w:rsidRDefault="00630E43" w:rsidP="00630E43">
            <w:r w:rsidRPr="00630E43">
              <w:t>Тазобедренные и коленные шарниры-замковые.</w:t>
            </w:r>
          </w:p>
        </w:tc>
        <w:tc>
          <w:tcPr>
            <w:tcW w:w="1133" w:type="dxa"/>
            <w:shd w:val="clear" w:color="auto" w:fill="auto"/>
          </w:tcPr>
          <w:p w:rsidR="00630E43" w:rsidRPr="00630E43" w:rsidRDefault="00630E43" w:rsidP="00630E43">
            <w:r w:rsidRPr="00630E43">
              <w:t xml:space="preserve">     58</w:t>
            </w:r>
          </w:p>
        </w:tc>
      </w:tr>
      <w:tr w:rsidR="00630E43" w:rsidRPr="00630E43" w:rsidTr="00310131">
        <w:trPr>
          <w:trHeight w:val="3120"/>
        </w:trPr>
        <w:tc>
          <w:tcPr>
            <w:tcW w:w="567" w:type="dxa"/>
            <w:shd w:val="clear" w:color="auto" w:fill="auto"/>
          </w:tcPr>
          <w:p w:rsidR="00630E43" w:rsidRPr="00630E43" w:rsidRDefault="00630E43" w:rsidP="00630E43">
            <w:r w:rsidRPr="00630E43">
              <w:t>6.</w:t>
            </w:r>
          </w:p>
        </w:tc>
        <w:tc>
          <w:tcPr>
            <w:tcW w:w="1843" w:type="dxa"/>
          </w:tcPr>
          <w:p w:rsidR="00630E43" w:rsidRPr="00630E43" w:rsidRDefault="00630E43" w:rsidP="00630E43">
            <w:pPr>
              <w:jc w:val="both"/>
            </w:pPr>
            <w:r w:rsidRPr="00630E43">
              <w:t>Аппарат на тазобедренный сустав</w:t>
            </w:r>
          </w:p>
        </w:tc>
        <w:tc>
          <w:tcPr>
            <w:tcW w:w="6379" w:type="dxa"/>
            <w:shd w:val="clear" w:color="auto" w:fill="auto"/>
          </w:tcPr>
          <w:p w:rsidR="00630E43" w:rsidRPr="00630E43" w:rsidRDefault="00630E43" w:rsidP="00630E43">
            <w:r w:rsidRPr="00630E43">
              <w:t>Ортопедический аппарат для восстановления двигательных функций и (или) предупреждения развития деформации путем разгрузки или фиксации тазобедренного сустава в положении достигаемой коррекции. Изготавливается по индивидуальным размерам Получателя.</w:t>
            </w:r>
          </w:p>
          <w:p w:rsidR="00630E43" w:rsidRPr="00630E43" w:rsidRDefault="00630E43" w:rsidP="00630E43">
            <w:proofErr w:type="spellStart"/>
            <w:r w:rsidRPr="00630E43">
              <w:t>Полукорсет</w:t>
            </w:r>
            <w:proofErr w:type="spellEnd"/>
            <w:r w:rsidRPr="00630E43">
              <w:t>.</w:t>
            </w:r>
          </w:p>
          <w:p w:rsidR="00630E43" w:rsidRPr="00630E43" w:rsidRDefault="00630E43" w:rsidP="00630E43">
            <w:r w:rsidRPr="00630E43">
              <w:t>Гильза бедра.</w:t>
            </w:r>
          </w:p>
          <w:p w:rsidR="00630E43" w:rsidRPr="00630E43" w:rsidRDefault="00630E43" w:rsidP="00630E43">
            <w:r w:rsidRPr="00630E43">
              <w:t>Шарнирные соединения.</w:t>
            </w:r>
          </w:p>
          <w:p w:rsidR="00630E43" w:rsidRPr="00630E43" w:rsidRDefault="00630E43" w:rsidP="00630E43">
            <w:r w:rsidRPr="00630E43">
              <w:t>Шины бедра.</w:t>
            </w:r>
          </w:p>
          <w:p w:rsidR="00630E43" w:rsidRPr="00630E43" w:rsidRDefault="00630E43" w:rsidP="00630E43">
            <w:r w:rsidRPr="00630E43">
              <w:t>Два полукольца бедра.</w:t>
            </w:r>
          </w:p>
          <w:p w:rsidR="00630E43" w:rsidRPr="00630E43" w:rsidRDefault="00630E43" w:rsidP="00630E43">
            <w:r w:rsidRPr="00630E43">
              <w:t xml:space="preserve">Шины </w:t>
            </w:r>
            <w:proofErr w:type="spellStart"/>
            <w:r w:rsidRPr="00630E43">
              <w:t>полукорсета</w:t>
            </w:r>
            <w:proofErr w:type="spellEnd"/>
            <w:r w:rsidRPr="00630E43">
              <w:t>.</w:t>
            </w:r>
          </w:p>
        </w:tc>
        <w:tc>
          <w:tcPr>
            <w:tcW w:w="1133" w:type="dxa"/>
            <w:shd w:val="clear" w:color="auto" w:fill="auto"/>
          </w:tcPr>
          <w:p w:rsidR="00630E43" w:rsidRPr="00630E43" w:rsidRDefault="00630E43" w:rsidP="00630E43">
            <w:pPr>
              <w:jc w:val="center"/>
            </w:pPr>
            <w:r w:rsidRPr="00630E43">
              <w:t>118</w:t>
            </w:r>
          </w:p>
        </w:tc>
      </w:tr>
      <w:tr w:rsidR="00630E43" w:rsidRPr="00630E43" w:rsidTr="00310131">
        <w:trPr>
          <w:trHeight w:val="3688"/>
        </w:trPr>
        <w:tc>
          <w:tcPr>
            <w:tcW w:w="567" w:type="dxa"/>
            <w:shd w:val="clear" w:color="auto" w:fill="auto"/>
          </w:tcPr>
          <w:p w:rsidR="00630E43" w:rsidRPr="00630E43" w:rsidRDefault="00630E43" w:rsidP="00630E43">
            <w:r w:rsidRPr="00630E43">
              <w:t>7.</w:t>
            </w:r>
          </w:p>
        </w:tc>
        <w:tc>
          <w:tcPr>
            <w:tcW w:w="1843" w:type="dxa"/>
          </w:tcPr>
          <w:p w:rsidR="00630E43" w:rsidRPr="00630E43" w:rsidRDefault="00630E43" w:rsidP="00630E43">
            <w:pPr>
              <w:jc w:val="both"/>
            </w:pPr>
            <w:r w:rsidRPr="00630E43">
              <w:t>Аппарат на коленный и тазобедренный суставы</w:t>
            </w:r>
          </w:p>
        </w:tc>
        <w:tc>
          <w:tcPr>
            <w:tcW w:w="6379" w:type="dxa"/>
            <w:shd w:val="clear" w:color="auto" w:fill="auto"/>
          </w:tcPr>
          <w:p w:rsidR="00630E43" w:rsidRPr="00630E43" w:rsidRDefault="00630E43" w:rsidP="00630E43">
            <w:r w:rsidRPr="00630E43">
              <w:rPr>
                <w:color w:val="000000"/>
              </w:rPr>
              <w:t xml:space="preserve">Ортопедический аппарат </w:t>
            </w:r>
            <w:r w:rsidRPr="00630E43">
              <w:t>на коленный и тазобедренный суставы. И</w:t>
            </w:r>
            <w:r w:rsidRPr="00630E43">
              <w:rPr>
                <w:color w:val="000000"/>
              </w:rPr>
              <w:t xml:space="preserve">зготавливается по </w:t>
            </w:r>
            <w:r w:rsidRPr="00630E43">
              <w:t xml:space="preserve">индивидуальным размерам Получателя. </w:t>
            </w:r>
          </w:p>
          <w:p w:rsidR="00630E43" w:rsidRPr="00630E43" w:rsidRDefault="00630E43" w:rsidP="00630E43">
            <w:pPr>
              <w:rPr>
                <w:color w:val="000000"/>
              </w:rPr>
            </w:pPr>
            <w:r w:rsidRPr="00630E43">
              <w:rPr>
                <w:color w:val="000000"/>
              </w:rPr>
              <w:t>Гильзы голени.</w:t>
            </w:r>
          </w:p>
          <w:p w:rsidR="00630E43" w:rsidRPr="00630E43" w:rsidRDefault="00630E43" w:rsidP="00630E43">
            <w:pPr>
              <w:rPr>
                <w:color w:val="000000"/>
              </w:rPr>
            </w:pPr>
            <w:r w:rsidRPr="00630E43">
              <w:rPr>
                <w:color w:val="000000"/>
              </w:rPr>
              <w:t>Гильзы бедра.</w:t>
            </w:r>
          </w:p>
          <w:p w:rsidR="00630E43" w:rsidRPr="00630E43" w:rsidRDefault="00630E43" w:rsidP="00630E43">
            <w:pPr>
              <w:rPr>
                <w:color w:val="000000"/>
              </w:rPr>
            </w:pPr>
            <w:proofErr w:type="spellStart"/>
            <w:r w:rsidRPr="00630E43">
              <w:rPr>
                <w:color w:val="000000"/>
              </w:rPr>
              <w:t>Полукорсет</w:t>
            </w:r>
            <w:proofErr w:type="spellEnd"/>
            <w:r w:rsidRPr="00630E43">
              <w:rPr>
                <w:color w:val="000000"/>
              </w:rPr>
              <w:t>.</w:t>
            </w:r>
          </w:p>
          <w:p w:rsidR="00630E43" w:rsidRPr="00630E43" w:rsidRDefault="00630E43" w:rsidP="00630E43">
            <w:pPr>
              <w:rPr>
                <w:color w:val="000000"/>
              </w:rPr>
            </w:pPr>
            <w:r w:rsidRPr="00630E43">
              <w:rPr>
                <w:color w:val="000000"/>
              </w:rPr>
              <w:t>Шины голени.</w:t>
            </w:r>
          </w:p>
          <w:p w:rsidR="00630E43" w:rsidRPr="00630E43" w:rsidRDefault="00630E43" w:rsidP="00630E43">
            <w:pPr>
              <w:rPr>
                <w:color w:val="000000"/>
              </w:rPr>
            </w:pPr>
            <w:r w:rsidRPr="00630E43">
              <w:rPr>
                <w:color w:val="000000"/>
              </w:rPr>
              <w:t>Шины бедра.</w:t>
            </w:r>
          </w:p>
          <w:p w:rsidR="00630E43" w:rsidRPr="00630E43" w:rsidRDefault="00630E43" w:rsidP="00630E43">
            <w:pPr>
              <w:rPr>
                <w:color w:val="000000"/>
              </w:rPr>
            </w:pPr>
            <w:r w:rsidRPr="00630E43">
              <w:rPr>
                <w:color w:val="000000"/>
              </w:rPr>
              <w:t>Коленный шарнир.</w:t>
            </w:r>
          </w:p>
          <w:p w:rsidR="00630E43" w:rsidRPr="00630E43" w:rsidRDefault="00630E43" w:rsidP="00630E43">
            <w:pPr>
              <w:rPr>
                <w:color w:val="000000"/>
              </w:rPr>
            </w:pPr>
            <w:r w:rsidRPr="00630E43">
              <w:rPr>
                <w:color w:val="000000"/>
              </w:rPr>
              <w:t>Два полукольца бедра.</w:t>
            </w:r>
          </w:p>
          <w:p w:rsidR="00630E43" w:rsidRPr="00630E43" w:rsidRDefault="00630E43" w:rsidP="00630E43">
            <w:pPr>
              <w:rPr>
                <w:color w:val="000000"/>
              </w:rPr>
            </w:pPr>
            <w:r w:rsidRPr="00630E43">
              <w:rPr>
                <w:color w:val="000000"/>
              </w:rPr>
              <w:t>Верхнее полукольцо берда.</w:t>
            </w:r>
          </w:p>
          <w:p w:rsidR="00630E43" w:rsidRPr="00630E43" w:rsidRDefault="00630E43" w:rsidP="00630E43">
            <w:pPr>
              <w:rPr>
                <w:color w:val="000000"/>
              </w:rPr>
            </w:pPr>
            <w:r w:rsidRPr="00630E43">
              <w:rPr>
                <w:color w:val="000000"/>
              </w:rPr>
              <w:t xml:space="preserve">Шины </w:t>
            </w:r>
            <w:proofErr w:type="spellStart"/>
            <w:r w:rsidRPr="00630E43">
              <w:rPr>
                <w:color w:val="000000"/>
              </w:rPr>
              <w:t>полукорсета</w:t>
            </w:r>
            <w:proofErr w:type="spellEnd"/>
            <w:r w:rsidRPr="00630E43">
              <w:rPr>
                <w:color w:val="000000"/>
              </w:rPr>
              <w:t>.</w:t>
            </w:r>
          </w:p>
          <w:p w:rsidR="00630E43" w:rsidRPr="00630E43" w:rsidRDefault="00630E43" w:rsidP="00630E43">
            <w:r w:rsidRPr="00630E43">
              <w:rPr>
                <w:color w:val="000000"/>
              </w:rPr>
              <w:t>Коленные шарниры.</w:t>
            </w:r>
          </w:p>
        </w:tc>
        <w:tc>
          <w:tcPr>
            <w:tcW w:w="1133" w:type="dxa"/>
            <w:shd w:val="clear" w:color="auto" w:fill="auto"/>
          </w:tcPr>
          <w:p w:rsidR="00630E43" w:rsidRPr="00630E43" w:rsidRDefault="00630E43" w:rsidP="00630E43">
            <w:pPr>
              <w:jc w:val="center"/>
            </w:pPr>
            <w:r w:rsidRPr="00630E43">
              <w:t>3</w:t>
            </w:r>
          </w:p>
        </w:tc>
      </w:tr>
      <w:tr w:rsidR="00630E43" w:rsidRPr="00630E43" w:rsidTr="00310131">
        <w:tc>
          <w:tcPr>
            <w:tcW w:w="8789" w:type="dxa"/>
            <w:gridSpan w:val="3"/>
            <w:shd w:val="clear" w:color="auto" w:fill="auto"/>
          </w:tcPr>
          <w:p w:rsidR="00630E43" w:rsidRPr="00630E43" w:rsidRDefault="00630E43" w:rsidP="00630E43">
            <w:pPr>
              <w:jc w:val="center"/>
              <w:rPr>
                <w:b/>
                <w:lang w:val="en-US"/>
              </w:rPr>
            </w:pPr>
            <w:r w:rsidRPr="00630E43">
              <w:rPr>
                <w:b/>
                <w:lang w:val="en-US"/>
              </w:rPr>
              <w:t>ИТОГО:</w:t>
            </w:r>
          </w:p>
        </w:tc>
        <w:tc>
          <w:tcPr>
            <w:tcW w:w="1133" w:type="dxa"/>
            <w:shd w:val="clear" w:color="auto" w:fill="auto"/>
          </w:tcPr>
          <w:p w:rsidR="00630E43" w:rsidRPr="00630E43" w:rsidRDefault="00630E43" w:rsidP="00630E43">
            <w:pPr>
              <w:jc w:val="center"/>
              <w:rPr>
                <w:b/>
              </w:rPr>
            </w:pPr>
            <w:r w:rsidRPr="00630E43">
              <w:rPr>
                <w:b/>
              </w:rPr>
              <w:t>533</w:t>
            </w:r>
          </w:p>
        </w:tc>
      </w:tr>
    </w:tbl>
    <w:p w:rsidR="00630E43" w:rsidRPr="00630E43" w:rsidRDefault="00630E43" w:rsidP="00630E43">
      <w:pPr>
        <w:autoSpaceDE w:val="0"/>
        <w:autoSpaceDN w:val="0"/>
        <w:adjustRightInd w:val="0"/>
        <w:jc w:val="both"/>
        <w:rPr>
          <w:lang w:eastAsia="ar-SA"/>
        </w:rPr>
      </w:pPr>
    </w:p>
    <w:p w:rsidR="00630E43" w:rsidRPr="00630E43" w:rsidRDefault="00630E43" w:rsidP="00630E43">
      <w:pPr>
        <w:ind w:right="-24"/>
        <w:jc w:val="both"/>
        <w:rPr>
          <w:bCs/>
          <w:lang w:eastAsia="en-US"/>
        </w:rPr>
      </w:pPr>
    </w:p>
    <w:p w:rsidR="00630E43" w:rsidRPr="00630E43" w:rsidRDefault="00630E43" w:rsidP="00630E43">
      <w:pPr>
        <w:autoSpaceDE w:val="0"/>
        <w:autoSpaceDN w:val="0"/>
        <w:adjustRightInd w:val="0"/>
        <w:jc w:val="both"/>
        <w:rPr>
          <w:b/>
          <w:lang w:eastAsia="ar-SA"/>
        </w:rPr>
      </w:pPr>
      <w:r w:rsidRPr="00630E43">
        <w:rPr>
          <w:b/>
        </w:rPr>
        <w:t xml:space="preserve">Обоснование включения дополнительной информации в сведения о товаре, работе, услуге: </w:t>
      </w:r>
      <w:r w:rsidRPr="00630E43">
        <w:rPr>
          <w:lang w:eastAsia="ar-SA"/>
        </w:rPr>
        <w:t>Методические рекомендации по установлению медицинских показаний и противопоказаний при назначении специалистами МСЭ ТСР получателя и методика их рационального подбора (Издание третье, переработанное и дополненное, 2018 г.)</w:t>
      </w:r>
    </w:p>
    <w:p w:rsidR="00630E43" w:rsidRPr="00630E43" w:rsidRDefault="00630E43" w:rsidP="00630E43">
      <w:pPr>
        <w:ind w:right="-24"/>
        <w:jc w:val="both"/>
        <w:rPr>
          <w:bCs/>
          <w:lang w:eastAsia="en-US"/>
        </w:rPr>
      </w:pPr>
    </w:p>
    <w:p w:rsidR="00630E43" w:rsidRPr="00630E43" w:rsidRDefault="00630E43" w:rsidP="00630E43">
      <w:pPr>
        <w:ind w:right="-24"/>
        <w:jc w:val="both"/>
        <w:rPr>
          <w:lang w:eastAsia="en-US"/>
        </w:rPr>
      </w:pPr>
      <w:r w:rsidRPr="00630E43">
        <w:rPr>
          <w:bCs/>
          <w:lang w:eastAsia="en-US"/>
        </w:rPr>
        <w:t>3.1.</w:t>
      </w:r>
      <w:r w:rsidRPr="00630E43">
        <w:rPr>
          <w:lang w:eastAsia="en-US"/>
        </w:rPr>
        <w:t xml:space="preserve"> При использовании Изделия по назначению не должно создаваться угрозы для жизни и здоровья потребителя, окружающей среды, а также использование Изделия не должно причинять вред имуществу потребителя при его эксплуатации (Закон Российской Федерации от 07.02.1992 № 2300-1 «О защите прав потребителей»).</w:t>
      </w:r>
    </w:p>
    <w:p w:rsidR="00630E43" w:rsidRPr="00630E43" w:rsidRDefault="00630E43" w:rsidP="00630E43">
      <w:pPr>
        <w:jc w:val="both"/>
      </w:pPr>
      <w:r w:rsidRPr="00630E43">
        <w:t>3.2 Изделие должно соответствовать следующим государственным стандартам (ГОСТ), действующим на территории Российской Федерации:</w:t>
      </w:r>
    </w:p>
    <w:p w:rsidR="00630E43" w:rsidRPr="00630E43" w:rsidRDefault="00630E43" w:rsidP="00630E43">
      <w:pPr>
        <w:widowControl w:val="0"/>
        <w:autoSpaceDE w:val="0"/>
        <w:autoSpaceDN w:val="0"/>
        <w:adjustRightInd w:val="0"/>
        <w:ind w:right="9"/>
        <w:jc w:val="both"/>
        <w:rPr>
          <w:bCs/>
        </w:rPr>
      </w:pPr>
      <w:r w:rsidRPr="00630E43">
        <w:t xml:space="preserve"> </w:t>
      </w:r>
      <w:r w:rsidRPr="00630E43">
        <w:rPr>
          <w:bCs/>
        </w:rPr>
        <w:t xml:space="preserve">ГОСТ Р 56137-2021 «Протезирование и </w:t>
      </w:r>
      <w:proofErr w:type="spellStart"/>
      <w:r w:rsidRPr="00630E43">
        <w:rPr>
          <w:bCs/>
        </w:rPr>
        <w:t>ортезирование</w:t>
      </w:r>
      <w:proofErr w:type="spellEnd"/>
      <w:r w:rsidRPr="00630E43">
        <w:rPr>
          <w:bCs/>
        </w:rPr>
        <w:t xml:space="preserve">. Контроль качества протезов и </w:t>
      </w:r>
      <w:proofErr w:type="spellStart"/>
      <w:r w:rsidRPr="00630E43">
        <w:rPr>
          <w:bCs/>
        </w:rPr>
        <w:t>ортезов</w:t>
      </w:r>
      <w:proofErr w:type="spellEnd"/>
      <w:r w:rsidRPr="00630E43">
        <w:rPr>
          <w:bCs/>
        </w:rPr>
        <w:t xml:space="preserve"> нижних конечностей с индивидуальными параметрами изготовления»;</w:t>
      </w:r>
    </w:p>
    <w:p w:rsidR="00630E43" w:rsidRPr="00630E43" w:rsidRDefault="00630E43" w:rsidP="00630E43">
      <w:pPr>
        <w:autoSpaceDE w:val="0"/>
        <w:autoSpaceDN w:val="0"/>
        <w:adjustRightInd w:val="0"/>
        <w:jc w:val="both"/>
      </w:pPr>
      <w:r w:rsidRPr="00630E43">
        <w:rPr>
          <w:bCs/>
        </w:rPr>
        <w:lastRenderedPageBreak/>
        <w:t xml:space="preserve">- ГОСТ Р 51819-2022 «Протезирование и </w:t>
      </w:r>
      <w:proofErr w:type="spellStart"/>
      <w:r w:rsidRPr="00630E43">
        <w:rPr>
          <w:bCs/>
        </w:rPr>
        <w:t>ортезирование</w:t>
      </w:r>
      <w:proofErr w:type="spellEnd"/>
      <w:r w:rsidRPr="00630E43">
        <w:rPr>
          <w:bCs/>
        </w:rPr>
        <w:t xml:space="preserve"> верхних и нижних конечностей. Термины и определения»;</w:t>
      </w:r>
    </w:p>
    <w:p w:rsidR="00630E43" w:rsidRPr="00630E43" w:rsidRDefault="00630E43" w:rsidP="00630E43">
      <w:pPr>
        <w:widowControl w:val="0"/>
        <w:autoSpaceDE w:val="0"/>
        <w:autoSpaceDN w:val="0"/>
        <w:adjustRightInd w:val="0"/>
        <w:ind w:right="9"/>
        <w:jc w:val="both"/>
        <w:rPr>
          <w:bCs/>
        </w:rPr>
      </w:pPr>
      <w:r w:rsidRPr="00630E43">
        <w:rPr>
          <w:bCs/>
        </w:rPr>
        <w:t>- ГОСТ Р 58268-2021 «</w:t>
      </w:r>
      <w:proofErr w:type="spellStart"/>
      <w:r w:rsidRPr="00630E43">
        <w:rPr>
          <w:bCs/>
        </w:rPr>
        <w:t>Ортезы</w:t>
      </w:r>
      <w:proofErr w:type="spellEnd"/>
      <w:r w:rsidRPr="00630E43">
        <w:rPr>
          <w:bCs/>
        </w:rPr>
        <w:t xml:space="preserve"> и другие средства наружной поддержки тела. Термины и определения. Классификация»;</w:t>
      </w:r>
    </w:p>
    <w:p w:rsidR="00630E43" w:rsidRPr="00630E43" w:rsidRDefault="00630E43" w:rsidP="00630E43">
      <w:pPr>
        <w:widowControl w:val="0"/>
        <w:autoSpaceDE w:val="0"/>
        <w:autoSpaceDN w:val="0"/>
        <w:adjustRightInd w:val="0"/>
        <w:ind w:right="9"/>
        <w:jc w:val="both"/>
        <w:rPr>
          <w:bCs/>
        </w:rPr>
      </w:pPr>
      <w:r w:rsidRPr="00630E43">
        <w:rPr>
          <w:bCs/>
        </w:rPr>
        <w:t xml:space="preserve">- </w:t>
      </w:r>
      <w:r w:rsidRPr="00630E43">
        <w:t xml:space="preserve">"ГОСТ ISO 10993-1-2021. Межгосударственный стандарт. Изделия медицинские. Оценка биологического действия медицинских изделий. Часть 1. Оценка и исследования в процессе менеджмента риска"; </w:t>
      </w:r>
    </w:p>
    <w:p w:rsidR="00630E43" w:rsidRPr="00630E43" w:rsidRDefault="00630E43" w:rsidP="00630E43">
      <w:pPr>
        <w:keepNext/>
        <w:shd w:val="clear" w:color="auto" w:fill="FFFFFF"/>
        <w:overflowPunct w:val="0"/>
        <w:autoSpaceDE w:val="0"/>
        <w:autoSpaceDN w:val="0"/>
        <w:adjustRightInd w:val="0"/>
        <w:jc w:val="both"/>
        <w:textAlignment w:val="baseline"/>
        <w:outlineLvl w:val="0"/>
        <w:rPr>
          <w:bCs/>
          <w:color w:val="000000"/>
          <w:kern w:val="28"/>
        </w:rPr>
      </w:pPr>
      <w:r w:rsidRPr="00630E43">
        <w:rPr>
          <w:bCs/>
          <w:color w:val="000000"/>
          <w:kern w:val="28"/>
        </w:rPr>
        <w:t>- </w:t>
      </w:r>
      <w:r w:rsidRPr="00630E43">
        <w:rPr>
          <w:color w:val="0E141A"/>
          <w:shd w:val="clear" w:color="auto" w:fill="FFFFFF"/>
        </w:rPr>
        <w:t xml:space="preserve">ГОСТ </w:t>
      </w:r>
      <w:r w:rsidRPr="00630E43">
        <w:t>ISO</w:t>
      </w:r>
      <w:r w:rsidRPr="00630E43">
        <w:rPr>
          <w:color w:val="0E141A"/>
          <w:shd w:val="clear" w:color="auto" w:fill="FFFFFF"/>
        </w:rPr>
        <w:t xml:space="preserve"> 10993-5-2011</w:t>
      </w:r>
      <w:r w:rsidRPr="00630E43">
        <w:rPr>
          <w:rFonts w:ascii="Arial" w:hAnsi="Arial" w:cs="Arial"/>
          <w:color w:val="0E141A"/>
          <w:sz w:val="18"/>
          <w:szCs w:val="18"/>
        </w:rPr>
        <w:t> </w:t>
      </w:r>
      <w:r w:rsidRPr="00630E43">
        <w:rPr>
          <w:bCs/>
          <w:color w:val="2D2D2D"/>
          <w:spacing w:val="2"/>
          <w:kern w:val="36"/>
        </w:rPr>
        <w:t xml:space="preserve">«Изделия медицинские. Оценка биологического действия медицинских изделий. Часть 5. Исследование на </w:t>
      </w:r>
      <w:proofErr w:type="spellStart"/>
      <w:r w:rsidRPr="00630E43">
        <w:rPr>
          <w:bCs/>
          <w:color w:val="2D2D2D"/>
          <w:spacing w:val="2"/>
          <w:kern w:val="36"/>
        </w:rPr>
        <w:t>цитотоксичность</w:t>
      </w:r>
      <w:proofErr w:type="spellEnd"/>
      <w:r w:rsidRPr="00630E43">
        <w:rPr>
          <w:bCs/>
          <w:color w:val="2D2D2D"/>
          <w:spacing w:val="2"/>
          <w:kern w:val="36"/>
        </w:rPr>
        <w:t xml:space="preserve">: методы </w:t>
      </w:r>
      <w:proofErr w:type="spellStart"/>
      <w:r w:rsidRPr="00630E43">
        <w:rPr>
          <w:bCs/>
          <w:color w:val="2D2D2D"/>
          <w:spacing w:val="2"/>
          <w:kern w:val="36"/>
        </w:rPr>
        <w:t>in</w:t>
      </w:r>
      <w:proofErr w:type="spellEnd"/>
      <w:r w:rsidRPr="00630E43">
        <w:rPr>
          <w:bCs/>
          <w:color w:val="2D2D2D"/>
          <w:spacing w:val="2"/>
          <w:kern w:val="36"/>
        </w:rPr>
        <w:t xml:space="preserve"> </w:t>
      </w:r>
      <w:proofErr w:type="spellStart"/>
      <w:r w:rsidRPr="00630E43">
        <w:rPr>
          <w:bCs/>
          <w:color w:val="2D2D2D"/>
          <w:spacing w:val="2"/>
          <w:kern w:val="36"/>
        </w:rPr>
        <w:t>vitro</w:t>
      </w:r>
      <w:proofErr w:type="spellEnd"/>
      <w:r w:rsidRPr="00630E43">
        <w:rPr>
          <w:bCs/>
          <w:color w:val="2D2D2D"/>
          <w:spacing w:val="2"/>
          <w:kern w:val="36"/>
        </w:rPr>
        <w:t>»</w:t>
      </w:r>
      <w:r w:rsidRPr="00630E43">
        <w:rPr>
          <w:bCs/>
          <w:color w:val="000000"/>
          <w:kern w:val="28"/>
        </w:rPr>
        <w:t>;</w:t>
      </w:r>
    </w:p>
    <w:p w:rsidR="00630E43" w:rsidRPr="00630E43" w:rsidRDefault="00630E43" w:rsidP="00630E43">
      <w:pPr>
        <w:widowControl w:val="0"/>
        <w:autoSpaceDE w:val="0"/>
        <w:autoSpaceDN w:val="0"/>
        <w:adjustRightInd w:val="0"/>
        <w:ind w:right="9"/>
        <w:jc w:val="both"/>
      </w:pPr>
      <w:r w:rsidRPr="00630E43">
        <w:rPr>
          <w:bCs/>
          <w:color w:val="000000"/>
          <w:kern w:val="28"/>
        </w:rPr>
        <w:t xml:space="preserve"> - </w:t>
      </w:r>
      <w:r w:rsidRPr="00630E43">
        <w:rPr>
          <w:bCs/>
          <w:color w:val="2D2D2D"/>
          <w:spacing w:val="2"/>
          <w:kern w:val="36"/>
        </w:rPr>
        <w:t xml:space="preserve">ГОСТ </w:t>
      </w:r>
      <w:r w:rsidRPr="00630E43">
        <w:t>ISO</w:t>
      </w:r>
      <w:r w:rsidRPr="00630E43">
        <w:rPr>
          <w:color w:val="0E141A"/>
          <w:shd w:val="clear" w:color="auto" w:fill="FFFFFF"/>
        </w:rPr>
        <w:t xml:space="preserve"> 10993-10-2011 </w:t>
      </w:r>
      <w:r w:rsidRPr="00630E43">
        <w:rPr>
          <w:bCs/>
          <w:color w:val="2D2D2D"/>
          <w:spacing w:val="2"/>
          <w:kern w:val="36"/>
        </w:rPr>
        <w:t>«Изделия медицинские. Оценка биологического действия медицинских изделий. Часть 10. Исследование раздражающего и сенсибилизирующего действия».</w:t>
      </w:r>
      <w:r w:rsidRPr="00630E43">
        <w:t xml:space="preserve"> </w:t>
      </w:r>
    </w:p>
    <w:p w:rsidR="00630E43" w:rsidRPr="00630E43" w:rsidRDefault="00630E43" w:rsidP="00630E43">
      <w:pPr>
        <w:ind w:right="-24"/>
        <w:jc w:val="both"/>
        <w:rPr>
          <w:bCs/>
          <w:lang w:eastAsia="en-US"/>
        </w:rPr>
      </w:pPr>
      <w:r w:rsidRPr="00630E43">
        <w:rPr>
          <w:bCs/>
          <w:lang w:eastAsia="en-US"/>
        </w:rPr>
        <w:t>3.3.</w:t>
      </w:r>
      <w:r w:rsidRPr="00630E43">
        <w:t xml:space="preserve"> Изделие должно быть новым, которое не было в употреблении, в ремонте, в том числе которое не было восстановлено, у которого не была осуществлена замена составных частей, не были восстановлены потребительские свойства. Изделие должно быть свободным от прав третьих лиц.</w:t>
      </w:r>
    </w:p>
    <w:p w:rsidR="00630E43" w:rsidRPr="00630E43" w:rsidRDefault="00630E43" w:rsidP="00630E43">
      <w:pPr>
        <w:autoSpaceDE w:val="0"/>
        <w:jc w:val="both"/>
      </w:pPr>
      <w:r w:rsidRPr="00630E43">
        <w:rPr>
          <w:bCs/>
          <w:lang w:eastAsia="en-US"/>
        </w:rPr>
        <w:t xml:space="preserve">3.4. </w:t>
      </w:r>
      <w:r w:rsidRPr="00630E43">
        <w:t>Упаковка Изделия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(п.4.11.5 ГОСТ Р 51632-2021 «Технические средства реабилитации людей с ограничениями жизнедеятельности. Общие технические требования и методы испытаний»).</w:t>
      </w:r>
    </w:p>
    <w:p w:rsidR="00630E43" w:rsidRPr="00630E43" w:rsidRDefault="00630E43" w:rsidP="00630E43">
      <w:pPr>
        <w:jc w:val="both"/>
      </w:pPr>
      <w:r w:rsidRPr="00630E43">
        <w:t xml:space="preserve">Маркировка, упаковка и хранение протеза должно осуществляться с соблюдением требований ГОСТ Р ИСО 22523-2007 «Протезы конечностей и </w:t>
      </w:r>
      <w:proofErr w:type="spellStart"/>
      <w:r w:rsidRPr="00630E43">
        <w:t>ортезы</w:t>
      </w:r>
      <w:proofErr w:type="spellEnd"/>
      <w:r w:rsidRPr="00630E43">
        <w:t xml:space="preserve"> наружные. Требования и методы испытаний» (раздел 13.2 «Маркировка», раздел 14 «Упаковка»). Упаковка протеза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630E43" w:rsidRPr="00630E43" w:rsidRDefault="00630E43" w:rsidP="00630E43">
      <w:pPr>
        <w:jc w:val="both"/>
      </w:pPr>
      <w:r w:rsidRPr="00630E43">
        <w:t>3.5 Гарантийный срок на Изделия составляет не менее 12 месяцев со дня подписания Получателем акта приема-передачи Изделия</w:t>
      </w:r>
      <w:r w:rsidRPr="00630E43">
        <w:rPr>
          <w:bCs/>
          <w:spacing w:val="2"/>
          <w:kern w:val="36"/>
        </w:rPr>
        <w:t>.</w:t>
      </w:r>
      <w:r w:rsidRPr="00630E43">
        <w:t xml:space="preserve"> Установленный настоящим пунктом технического задания срок не распространяется на случаи нарушения Получателем условий и требований к эксплуатации Изделий.</w:t>
      </w:r>
    </w:p>
    <w:p w:rsidR="00630E43" w:rsidRPr="00630E43" w:rsidRDefault="00630E43" w:rsidP="00630E43">
      <w:pPr>
        <w:ind w:right="-24"/>
        <w:jc w:val="both"/>
        <w:rPr>
          <w:bCs/>
          <w:lang w:eastAsia="en-US"/>
        </w:rPr>
      </w:pPr>
      <w:r w:rsidRPr="00630E43">
        <w:rPr>
          <w:bCs/>
          <w:lang w:eastAsia="en-US"/>
        </w:rPr>
        <w:t>4. Исполнитель обязан:</w:t>
      </w:r>
    </w:p>
    <w:p w:rsidR="00630E43" w:rsidRPr="00630E43" w:rsidRDefault="00630E43" w:rsidP="00630E43">
      <w:pPr>
        <w:ind w:right="-24"/>
        <w:jc w:val="both"/>
        <w:rPr>
          <w:bCs/>
          <w:lang w:eastAsia="en-US"/>
        </w:rPr>
      </w:pPr>
      <w:r w:rsidRPr="00630E43">
        <w:rPr>
          <w:bCs/>
          <w:lang w:eastAsia="en-US"/>
        </w:rPr>
        <w:t xml:space="preserve">4.1. Изготавливать Изделие для Получателя, имеющее </w:t>
      </w:r>
      <w:r w:rsidRPr="00630E43">
        <w:t>действующие декларации о соответствии, оформленные в соответствии с законодательством Российской Федерации (при наличии). В случае, если ранее (в соответствии с нормативно-правовыми актами Российской Федерации) Изделие подлежало обязательной сертификации, допускается изготовление Изделия, имеющего действующий сертификат соответствия (при наличии).</w:t>
      </w:r>
    </w:p>
    <w:p w:rsidR="00630E43" w:rsidRPr="00630E43" w:rsidRDefault="00630E43" w:rsidP="00630E43">
      <w:pPr>
        <w:ind w:right="-24"/>
        <w:jc w:val="both"/>
      </w:pPr>
      <w:r w:rsidRPr="00630E43">
        <w:t xml:space="preserve">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w:t>
      </w:r>
    </w:p>
    <w:p w:rsidR="00630E43" w:rsidRPr="00630E43" w:rsidRDefault="00630E43" w:rsidP="00630E43">
      <w:pPr>
        <w:widowControl w:val="0"/>
        <w:shd w:val="clear" w:color="auto" w:fill="FFFFFF"/>
        <w:tabs>
          <w:tab w:val="left" w:pos="0"/>
        </w:tabs>
        <w:autoSpaceDE w:val="0"/>
        <w:jc w:val="both"/>
        <w:rPr>
          <w:lang w:eastAsia="ar-SA"/>
        </w:rPr>
      </w:pPr>
      <w:r w:rsidRPr="00630E43">
        <w:rPr>
          <w:lang w:eastAsia="ar-SA"/>
        </w:rPr>
        <w:t>4.2.</w:t>
      </w:r>
      <w:r w:rsidRPr="00630E43">
        <w:t xml:space="preserve"> Осуществлять прием Получателя или его представителя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 439н от 21.08.2008), выдаваемого Заказчиком.</w:t>
      </w:r>
    </w:p>
    <w:p w:rsidR="00630E43" w:rsidRPr="00630E43" w:rsidRDefault="00630E43" w:rsidP="00630E43">
      <w:pPr>
        <w:ind w:right="-24"/>
        <w:jc w:val="both"/>
      </w:pPr>
      <w:r w:rsidRPr="00630E43">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w:t>
      </w:r>
    </w:p>
    <w:p w:rsidR="00630E43" w:rsidRPr="00630E43" w:rsidRDefault="00630E43" w:rsidP="00630E43">
      <w:pPr>
        <w:ind w:right="-24"/>
        <w:jc w:val="both"/>
      </w:pPr>
      <w:r w:rsidRPr="00630E43">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630E43" w:rsidRPr="00630E43" w:rsidRDefault="00630E43" w:rsidP="00630E43">
      <w:pPr>
        <w:jc w:val="both"/>
        <w:rPr>
          <w:rFonts w:ascii="Times New Roman CYR" w:hAnsi="Times New Roman CYR" w:cs="Times New Roman CYR"/>
        </w:rPr>
      </w:pPr>
      <w:r w:rsidRPr="00630E43">
        <w:t xml:space="preserve">4.3. </w:t>
      </w:r>
      <w:r w:rsidRPr="00630E43">
        <w:rPr>
          <w:rFonts w:ascii="Times New Roman CYR" w:hAnsi="Times New Roman CYR" w:cs="Times New Roman CYR"/>
        </w:rPr>
        <w:t xml:space="preserve">При работе с Получателями обеспечить соблюдение рекомендаций и санитарно-эпидемиологических требований </w:t>
      </w:r>
      <w:proofErr w:type="spellStart"/>
      <w:r w:rsidRPr="00630E43">
        <w:rPr>
          <w:rFonts w:ascii="Times New Roman CYR" w:hAnsi="Times New Roman CYR" w:cs="Times New Roman CYR"/>
        </w:rPr>
        <w:t>Роспотребнадзора</w:t>
      </w:r>
      <w:proofErr w:type="spellEnd"/>
      <w:r w:rsidRPr="00630E43">
        <w:rPr>
          <w:rFonts w:ascii="Times New Roman CYR" w:hAnsi="Times New Roman CYR" w:cs="Times New Roman CYR"/>
        </w:rPr>
        <w:t xml:space="preserve"> и исполнительных органов государственной власти Санкт-Петербурга и Ленинградской области при возникновении неблагоприятной санитарно-эпидемиологической обстановки, в том числе в период распространении новой </w:t>
      </w:r>
      <w:proofErr w:type="spellStart"/>
      <w:r w:rsidRPr="00630E43">
        <w:rPr>
          <w:rFonts w:ascii="Times New Roman CYR" w:hAnsi="Times New Roman CYR" w:cs="Times New Roman CYR"/>
        </w:rPr>
        <w:t>коронавирусной</w:t>
      </w:r>
      <w:proofErr w:type="spellEnd"/>
      <w:r w:rsidRPr="00630E43">
        <w:rPr>
          <w:rFonts w:ascii="Times New Roman CYR" w:hAnsi="Times New Roman CYR" w:cs="Times New Roman CYR"/>
        </w:rPr>
        <w:t xml:space="preserve"> инфекции (COVID-19).</w:t>
      </w:r>
    </w:p>
    <w:p w:rsidR="00630E43" w:rsidRPr="00630E43" w:rsidRDefault="00630E43" w:rsidP="00630E43">
      <w:pPr>
        <w:ind w:right="-24"/>
        <w:jc w:val="both"/>
      </w:pPr>
      <w:r w:rsidRPr="00630E43">
        <w:t>4.4.</w:t>
      </w:r>
      <w:r w:rsidRPr="00630E43">
        <w:rPr>
          <w:rFonts w:ascii="Times New Roman CYR" w:hAnsi="Times New Roman CYR" w:cs="Times New Roman CYR"/>
        </w:rPr>
        <w:t xml:space="preserve"> Обеспечить возможность изготовления Изделия со дня, следующего за днем передачи Исполнителю реестра Получателю.</w:t>
      </w:r>
    </w:p>
    <w:p w:rsidR="00630E43" w:rsidRPr="00630E43" w:rsidRDefault="00630E43" w:rsidP="00630E43">
      <w:pPr>
        <w:ind w:right="-24"/>
        <w:jc w:val="both"/>
        <w:rPr>
          <w:color w:val="000000"/>
        </w:rPr>
      </w:pPr>
      <w:r w:rsidRPr="00630E43">
        <w:lastRenderedPageBreak/>
        <w:t>4.5.</w:t>
      </w:r>
      <w:r w:rsidRPr="00630E43">
        <w:rPr>
          <w:color w:val="000000"/>
        </w:rPr>
        <w:t xml:space="preserve"> Осуществлять в течение гарантийного срока за счет собственных средств гарантийный ремонт Изделия и (или) гарантийную замену Изделия, преждевременно вышедших из строя не по вине Получателя, и (или) имеющих скрытые недостатки или дефекты (брак).</w:t>
      </w:r>
    </w:p>
    <w:p w:rsidR="00630E43" w:rsidRPr="00630E43" w:rsidRDefault="00630E43" w:rsidP="00630E43">
      <w:pPr>
        <w:jc w:val="both"/>
        <w:rPr>
          <w:rFonts w:ascii="Times New Roman CYR" w:hAnsi="Times New Roman CYR" w:cs="Times New Roman CYR"/>
        </w:rPr>
      </w:pPr>
      <w:r w:rsidRPr="00630E43">
        <w:rPr>
          <w:rFonts w:ascii="Times New Roman CYR" w:hAnsi="Times New Roman CYR" w:cs="Times New Roman CYR"/>
        </w:rPr>
        <w:t>В случае обнаружения Получателем в течение гарантийного срока Изделия при его должной эксплуатации несоответствия качества Изделия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Исполнителем должен быть обеспечен гарантийный ремонт (если Изделие подлежит гарантийному ремонту) либо осуществлена замена Изделия на аналогичное Изделие надлежащего качества.</w:t>
      </w:r>
    </w:p>
    <w:p w:rsidR="00630E43" w:rsidRPr="00630E43" w:rsidRDefault="00630E43" w:rsidP="00630E43">
      <w:pPr>
        <w:jc w:val="both"/>
        <w:rPr>
          <w:rFonts w:ascii="Times New Roman CYR" w:hAnsi="Times New Roman CYR" w:cs="Times New Roman CYR"/>
        </w:rPr>
      </w:pPr>
      <w:r w:rsidRPr="00630E43">
        <w:rPr>
          <w:rFonts w:ascii="Times New Roman CYR" w:hAnsi="Times New Roman CYR" w:cs="Times New Roman CYR"/>
        </w:rPr>
        <w:t>Срок выполнения гарантийного ремонта Изделия не должен превышать 20 рабочих дней со дня обращения Получателя (Заказчика).</w:t>
      </w:r>
    </w:p>
    <w:p w:rsidR="00630E43" w:rsidRPr="00630E43" w:rsidRDefault="00630E43" w:rsidP="00630E43">
      <w:pPr>
        <w:jc w:val="both"/>
        <w:rPr>
          <w:rFonts w:ascii="Times New Roman CYR" w:hAnsi="Times New Roman CYR" w:cs="Times New Roman CYR"/>
        </w:rPr>
      </w:pPr>
      <w:r w:rsidRPr="00630E43">
        <w:rPr>
          <w:rFonts w:ascii="Times New Roman CYR" w:hAnsi="Times New Roman CYR" w:cs="Times New Roman CYR"/>
        </w:rPr>
        <w:t>Срок осуществления замены Изделия не должен превышать 15 рабочих дней со дня обращения Получателя (Заказчика).</w:t>
      </w:r>
    </w:p>
    <w:p w:rsidR="00630E43" w:rsidRPr="00630E43" w:rsidRDefault="00630E43" w:rsidP="00630E43">
      <w:pPr>
        <w:autoSpaceDE w:val="0"/>
        <w:ind w:right="-24"/>
        <w:jc w:val="both"/>
        <w:rPr>
          <w:color w:val="000000"/>
        </w:rPr>
      </w:pPr>
      <w:r w:rsidRPr="00630E43">
        <w:rPr>
          <w:color w:val="000000"/>
        </w:rPr>
        <w:t xml:space="preserve">Обеспечение возможности ремонта, устранения недостатков изделия осуществляется в соответствии с Законом Российской Федерации от 07.02.1992 № 2300-1 «О защите прав потребителей». В случае невозможности осуществления ремонта Изделия в период гарантийного срока Исполнитель должен осуществить замену такого Изделия. </w:t>
      </w:r>
    </w:p>
    <w:p w:rsidR="00630E43" w:rsidRPr="00630E43" w:rsidRDefault="00630E43" w:rsidP="00630E43">
      <w:pPr>
        <w:autoSpaceDE w:val="0"/>
        <w:ind w:right="-24"/>
        <w:jc w:val="both"/>
        <w:rPr>
          <w:color w:val="000000"/>
        </w:rPr>
      </w:pPr>
      <w:r w:rsidRPr="00630E43">
        <w:rPr>
          <w:color w:val="000000"/>
        </w:rPr>
        <w:t>В связи с тем, что передача Изделия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Получателя.</w:t>
      </w:r>
    </w:p>
    <w:p w:rsidR="00630E43" w:rsidRPr="00630E43" w:rsidRDefault="00630E43" w:rsidP="00630E43">
      <w:pPr>
        <w:suppressAutoHyphens/>
        <w:ind w:right="-24"/>
        <w:jc w:val="both"/>
      </w:pPr>
      <w:r w:rsidRPr="00630E43">
        <w:t>Прием Получателя по вопросам, касающимся выдачи и гарантийного ремонта Изделия, осуществляется Исполнителем по месту нахождения организованных Исполнителем пунктов приема на территории Санкт-Петербурга и Ленинградской области.</w:t>
      </w:r>
    </w:p>
    <w:p w:rsidR="00630E43" w:rsidRPr="00630E43" w:rsidRDefault="00630E43" w:rsidP="00630E43">
      <w:pPr>
        <w:jc w:val="both"/>
        <w:rPr>
          <w:rFonts w:ascii="Times New Roman CYR" w:hAnsi="Times New Roman CYR" w:cs="Times New Roman CYR"/>
        </w:rPr>
      </w:pPr>
      <w:r w:rsidRPr="00630E43">
        <w:t xml:space="preserve">4.6. </w:t>
      </w:r>
      <w:r w:rsidRPr="00630E43">
        <w:rPr>
          <w:rFonts w:ascii="Times New Roman CYR" w:hAnsi="Times New Roman CYR" w:cs="Times New Roman CYR"/>
        </w:rPr>
        <w:t xml:space="preserve">Давать справки Получателю по вопросам, связанным с изготовлением Изделия, </w:t>
      </w:r>
      <w:r w:rsidRPr="00630E43">
        <w:t>а также осуществлять прием заявок на доставку Изделия по месту нахождения Получателя</w:t>
      </w:r>
      <w:r w:rsidRPr="00630E43">
        <w:rPr>
          <w:rFonts w:ascii="Times New Roman CYR" w:hAnsi="Times New Roman CYR" w:cs="Times New Roman CYR"/>
        </w:rPr>
        <w:t xml:space="preserve"> в часы работы пункта (пунктов) приема Получателей. Для звонков Получателя должен быть выделен телефонный номер. Информацию о телефонном номере Исполнитель должен предоставить Заказчику не позднее 1 (одного) рабочего дня с даты заключения государственного контракта.</w:t>
      </w:r>
    </w:p>
    <w:p w:rsidR="00630E43" w:rsidRPr="00630E43" w:rsidRDefault="00630E43" w:rsidP="00630E43">
      <w:pPr>
        <w:jc w:val="both"/>
      </w:pPr>
      <w:r w:rsidRPr="00630E43">
        <w:rPr>
          <w:rFonts w:ascii="Times New Roman CYR" w:hAnsi="Times New Roman CYR" w:cs="Times New Roman CYR"/>
        </w:rPr>
        <w:t>Звонки с городских номеров Санкт-Петербурга Ленинградской области должны быть бесплатными для Получателя, а именно: не допускается взимание дополнительной оплаты телефонных</w:t>
      </w:r>
      <w:r w:rsidRPr="00630E43">
        <w:t xml:space="preserve"> переговоров Получателя в виде предоставления для звонков Получателя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w:t>
      </w:r>
      <w:r w:rsidRPr="00630E43">
        <w:rPr>
          <w:rFonts w:ascii="Times New Roman CYR" w:hAnsi="Times New Roman CYR" w:cs="Times New Roman CYR"/>
        </w:rPr>
        <w:t xml:space="preserve"> Ленинградской области</w:t>
      </w:r>
      <w:r w:rsidRPr="00630E43">
        <w:t xml:space="preserve">; исключается возможность взимания оплаты за звонки Исполнителем. </w:t>
      </w:r>
    </w:p>
    <w:p w:rsidR="00630E43" w:rsidRPr="00630E43" w:rsidRDefault="00630E43" w:rsidP="00630E43">
      <w:pPr>
        <w:jc w:val="both"/>
      </w:pPr>
      <w:r w:rsidRPr="00630E43">
        <w:t>4.7. Вести аудиозаписи телефонных разговоров с Получателем по вопросам получения Изделия. По требованию Заказчика Исполнитель обязан предоставлять такие аудиозаписи. Вести журнал телефонных звонков с Получателей Изделия (передается Заказчиком по мере формирования) с пометкой о времени звонка, результате звонка и выборе Получателем способа, места и времени доставки Изделия.</w:t>
      </w:r>
    </w:p>
    <w:p w:rsidR="00630E43" w:rsidRPr="00630E43" w:rsidRDefault="00630E43" w:rsidP="00630E43">
      <w:pPr>
        <w:jc w:val="both"/>
      </w:pPr>
      <w:r w:rsidRPr="00630E43">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Изделия Получателю не позднее дня, следующего за днем доставки, согласованным с Получателем.</w:t>
      </w:r>
    </w:p>
    <w:p w:rsidR="00630E43" w:rsidRPr="00630E43" w:rsidRDefault="00630E43" w:rsidP="00630E43">
      <w:pPr>
        <w:ind w:right="-24"/>
        <w:jc w:val="both"/>
      </w:pPr>
      <w:r w:rsidRPr="00630E43">
        <w:t xml:space="preserve">4.8.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5" w:history="1">
        <w:r w:rsidRPr="00630E43">
          <w:rPr>
            <w:color w:val="0000FF"/>
            <w:u w:val="single"/>
          </w:rPr>
          <w:t>osp@ro78.fss.ru</w:t>
        </w:r>
      </w:hyperlink>
      <w:r w:rsidRPr="00630E43">
        <w:t xml:space="preserve">, </w:t>
      </w:r>
      <w:hyperlink r:id="rId6" w:history="1">
        <w:r w:rsidRPr="00630E43">
          <w:rPr>
            <w:color w:val="0000FF"/>
            <w:u w:val="single"/>
          </w:rPr>
          <w:t>tsrfil31@ro78.fss.ru</w:t>
        </w:r>
      </w:hyperlink>
      <w:r w:rsidRPr="00630E43">
        <w:t>.</w:t>
      </w:r>
    </w:p>
    <w:p w:rsidR="00630E43" w:rsidRPr="00630E43" w:rsidRDefault="00630E43" w:rsidP="00630E43">
      <w:pPr>
        <w:autoSpaceDE w:val="0"/>
        <w:autoSpaceDN w:val="0"/>
        <w:adjustRightInd w:val="0"/>
        <w:spacing w:line="240" w:lineRule="atLeast"/>
        <w:jc w:val="both"/>
      </w:pPr>
      <w:r w:rsidRPr="00630E43">
        <w:t xml:space="preserve">4.9.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630E43" w:rsidRPr="00630E43" w:rsidRDefault="00630E43" w:rsidP="00630E43">
      <w:pPr>
        <w:numPr>
          <w:ilvl w:val="0"/>
          <w:numId w:val="1"/>
        </w:numPr>
        <w:autoSpaceDE w:val="0"/>
        <w:autoSpaceDN w:val="0"/>
        <w:adjustRightInd w:val="0"/>
        <w:contextualSpacing/>
        <w:jc w:val="both"/>
        <w:rPr>
          <w:lang w:eastAsia="en-US"/>
        </w:rPr>
      </w:pPr>
      <w:r w:rsidRPr="00630E43">
        <w:rPr>
          <w:lang w:eastAsia="en-US"/>
        </w:rPr>
        <w:t>наименование, фирменное наименование (при наличии), место нахождения, почтовый адрес (для юридического лица);</w:t>
      </w:r>
    </w:p>
    <w:p w:rsidR="00630E43" w:rsidRPr="00630E43" w:rsidRDefault="00630E43" w:rsidP="00630E43">
      <w:pPr>
        <w:numPr>
          <w:ilvl w:val="0"/>
          <w:numId w:val="1"/>
        </w:numPr>
        <w:autoSpaceDE w:val="0"/>
        <w:autoSpaceDN w:val="0"/>
        <w:adjustRightInd w:val="0"/>
        <w:contextualSpacing/>
        <w:jc w:val="both"/>
        <w:rPr>
          <w:lang w:eastAsia="en-US"/>
        </w:rPr>
      </w:pPr>
      <w:r w:rsidRPr="00630E43">
        <w:rPr>
          <w:lang w:eastAsia="en-US"/>
        </w:rPr>
        <w:t>фамилия, имя, отчество (при наличии), паспортные данные, место жительства (для физического лица);</w:t>
      </w:r>
    </w:p>
    <w:p w:rsidR="00630E43" w:rsidRPr="00630E43" w:rsidRDefault="00630E43" w:rsidP="00630E43">
      <w:pPr>
        <w:numPr>
          <w:ilvl w:val="0"/>
          <w:numId w:val="1"/>
        </w:numPr>
        <w:autoSpaceDE w:val="0"/>
        <w:autoSpaceDN w:val="0"/>
        <w:adjustRightInd w:val="0"/>
        <w:contextualSpacing/>
        <w:jc w:val="both"/>
        <w:rPr>
          <w:lang w:eastAsia="en-US"/>
        </w:rPr>
      </w:pPr>
      <w:r w:rsidRPr="00630E43">
        <w:rPr>
          <w:lang w:eastAsia="en-US"/>
        </w:rPr>
        <w:t>номер контактного телефона;</w:t>
      </w:r>
    </w:p>
    <w:p w:rsidR="00630E43" w:rsidRPr="00630E43" w:rsidRDefault="00630E43" w:rsidP="00630E43">
      <w:pPr>
        <w:numPr>
          <w:ilvl w:val="0"/>
          <w:numId w:val="1"/>
        </w:numPr>
        <w:autoSpaceDE w:val="0"/>
        <w:autoSpaceDN w:val="0"/>
        <w:adjustRightInd w:val="0"/>
        <w:contextualSpacing/>
        <w:jc w:val="both"/>
        <w:rPr>
          <w:lang w:eastAsia="en-US"/>
        </w:rPr>
      </w:pPr>
      <w:r w:rsidRPr="00630E43">
        <w:rPr>
          <w:lang w:eastAsia="en-US"/>
        </w:rPr>
        <w:t>адрес электронной почты;</w:t>
      </w:r>
    </w:p>
    <w:p w:rsidR="00630E43" w:rsidRPr="00630E43" w:rsidRDefault="00630E43" w:rsidP="00630E43">
      <w:pPr>
        <w:numPr>
          <w:ilvl w:val="0"/>
          <w:numId w:val="1"/>
        </w:numPr>
        <w:autoSpaceDE w:val="0"/>
        <w:autoSpaceDN w:val="0"/>
        <w:adjustRightInd w:val="0"/>
        <w:contextualSpacing/>
        <w:jc w:val="both"/>
        <w:rPr>
          <w:lang w:eastAsia="en-US"/>
        </w:rPr>
      </w:pPr>
      <w:r w:rsidRPr="00630E43">
        <w:rPr>
          <w:lang w:eastAsia="en-US"/>
        </w:rPr>
        <w:lastRenderedPageBreak/>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30E43" w:rsidRPr="00630E43" w:rsidRDefault="00630E43" w:rsidP="00630E43">
      <w:pPr>
        <w:numPr>
          <w:ilvl w:val="0"/>
          <w:numId w:val="1"/>
        </w:numPr>
        <w:autoSpaceDE w:val="0"/>
        <w:autoSpaceDN w:val="0"/>
        <w:adjustRightInd w:val="0"/>
        <w:contextualSpacing/>
        <w:jc w:val="both"/>
        <w:rPr>
          <w:lang w:eastAsia="en-US"/>
        </w:rPr>
      </w:pPr>
      <w:r w:rsidRPr="00630E43">
        <w:rPr>
          <w:lang w:eastAsia="en-US"/>
        </w:rPr>
        <w:t>перечень операций, выполняемых соисполнителем в рамках государственного контракта;</w:t>
      </w:r>
    </w:p>
    <w:p w:rsidR="00630E43" w:rsidRPr="00630E43" w:rsidRDefault="00630E43" w:rsidP="00630E43">
      <w:pPr>
        <w:numPr>
          <w:ilvl w:val="0"/>
          <w:numId w:val="1"/>
        </w:numPr>
        <w:autoSpaceDE w:val="0"/>
        <w:autoSpaceDN w:val="0"/>
        <w:adjustRightInd w:val="0"/>
        <w:contextualSpacing/>
        <w:jc w:val="both"/>
        <w:rPr>
          <w:rFonts w:ascii="Calibri" w:hAnsi="Calibri"/>
          <w:lang w:eastAsia="en-US"/>
        </w:rPr>
      </w:pPr>
      <w:r w:rsidRPr="00630E43">
        <w:rPr>
          <w:lang w:eastAsia="en-US"/>
        </w:rPr>
        <w:t xml:space="preserve">срок </w:t>
      </w:r>
      <w:proofErr w:type="spellStart"/>
      <w:r w:rsidRPr="00630E43">
        <w:rPr>
          <w:lang w:eastAsia="en-US"/>
        </w:rPr>
        <w:t>соисполнительства</w:t>
      </w:r>
      <w:proofErr w:type="spellEnd"/>
      <w:r w:rsidRPr="00630E43">
        <w:rPr>
          <w:lang w:eastAsia="en-US"/>
        </w:rPr>
        <w:t>.</w:t>
      </w:r>
    </w:p>
    <w:p w:rsidR="00630E43" w:rsidRPr="00630E43" w:rsidRDefault="00630E43" w:rsidP="00630E43">
      <w:pPr>
        <w:autoSpaceDE w:val="0"/>
        <w:autoSpaceDN w:val="0"/>
        <w:adjustRightInd w:val="0"/>
        <w:spacing w:line="240" w:lineRule="atLeast"/>
        <w:jc w:val="both"/>
      </w:pPr>
      <w:r w:rsidRPr="00630E43">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rsidR="00630E43" w:rsidRPr="00630E43" w:rsidRDefault="00630E43" w:rsidP="00630E43">
      <w:pPr>
        <w:autoSpaceDE w:val="0"/>
        <w:autoSpaceDN w:val="0"/>
        <w:adjustRightInd w:val="0"/>
        <w:spacing w:line="240" w:lineRule="atLeast"/>
        <w:jc w:val="both"/>
      </w:pPr>
      <w:r w:rsidRPr="00630E43">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rsidR="00630E43" w:rsidRPr="00630E43" w:rsidRDefault="00630E43" w:rsidP="00630E43">
      <w:pPr>
        <w:autoSpaceDE w:val="0"/>
        <w:autoSpaceDN w:val="0"/>
        <w:adjustRightInd w:val="0"/>
        <w:spacing w:line="240" w:lineRule="atLeast"/>
        <w:jc w:val="both"/>
      </w:pPr>
      <w:r w:rsidRPr="00630E43">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7" w:history="1">
        <w:r w:rsidRPr="00630E43">
          <w:rPr>
            <w:color w:val="000080"/>
            <w:u w:val="single"/>
            <w:lang w:val="en-US"/>
          </w:rPr>
          <w:t>osp</w:t>
        </w:r>
        <w:r w:rsidRPr="00630E43">
          <w:rPr>
            <w:color w:val="000080"/>
            <w:u w:val="single"/>
          </w:rPr>
          <w:t>@</w:t>
        </w:r>
        <w:r w:rsidRPr="00630E43">
          <w:rPr>
            <w:color w:val="000080"/>
            <w:u w:val="single"/>
            <w:lang w:val="en-US"/>
          </w:rPr>
          <w:t>ro</w:t>
        </w:r>
        <w:r w:rsidRPr="00630E43">
          <w:rPr>
            <w:color w:val="000080"/>
            <w:u w:val="single"/>
          </w:rPr>
          <w:t>78.</w:t>
        </w:r>
        <w:r w:rsidRPr="00630E43">
          <w:rPr>
            <w:color w:val="000080"/>
            <w:u w:val="single"/>
            <w:lang w:val="en-US"/>
          </w:rPr>
          <w:t>fss</w:t>
        </w:r>
        <w:r w:rsidRPr="00630E43">
          <w:rPr>
            <w:color w:val="000080"/>
            <w:u w:val="single"/>
          </w:rPr>
          <w:t>.</w:t>
        </w:r>
        <w:proofErr w:type="spellStart"/>
        <w:r w:rsidRPr="00630E43">
          <w:rPr>
            <w:color w:val="000080"/>
            <w:u w:val="single"/>
            <w:lang w:val="en-US"/>
          </w:rPr>
          <w:t>ru</w:t>
        </w:r>
        <w:proofErr w:type="spellEnd"/>
      </w:hyperlink>
      <w:r w:rsidRPr="00630E43">
        <w:t xml:space="preserve">. </w:t>
      </w:r>
    </w:p>
    <w:p w:rsidR="00630E43" w:rsidRPr="00630E43" w:rsidRDefault="00630E43" w:rsidP="00630E43">
      <w:pPr>
        <w:jc w:val="both"/>
      </w:pPr>
    </w:p>
    <w:p w:rsidR="00630E43" w:rsidRPr="00630E43" w:rsidRDefault="00630E43" w:rsidP="00630E43">
      <w:pPr>
        <w:ind w:right="9"/>
        <w:jc w:val="both"/>
        <w:rPr>
          <w:color w:val="000000"/>
        </w:rPr>
      </w:pPr>
      <w:r w:rsidRPr="00630E43">
        <w:t xml:space="preserve">5. </w:t>
      </w:r>
      <w:r w:rsidRPr="00630E43">
        <w:rPr>
          <w:color w:val="000000"/>
        </w:rPr>
        <w:t>Способ выдачи Изделий:</w:t>
      </w:r>
    </w:p>
    <w:p w:rsidR="00630E43" w:rsidRPr="00630E43" w:rsidRDefault="00630E43" w:rsidP="00630E43">
      <w:pPr>
        <w:ind w:right="9"/>
        <w:jc w:val="both"/>
        <w:rPr>
          <w:color w:val="000000"/>
        </w:rPr>
      </w:pPr>
      <w:r w:rsidRPr="00630E43">
        <w:rPr>
          <w:color w:val="000000"/>
        </w:rPr>
        <w:t>5.1. Предоставлять Получателям право выбора способа получения Изделий:</w:t>
      </w:r>
    </w:p>
    <w:p w:rsidR="00630E43" w:rsidRPr="00630E43" w:rsidRDefault="00630E43" w:rsidP="00630E43">
      <w:pPr>
        <w:numPr>
          <w:ilvl w:val="0"/>
          <w:numId w:val="5"/>
        </w:numPr>
        <w:ind w:left="0" w:right="9"/>
        <w:jc w:val="both"/>
        <w:rPr>
          <w:color w:val="000000"/>
        </w:rPr>
      </w:pPr>
      <w:r w:rsidRPr="00630E43">
        <w:rPr>
          <w:color w:val="000000"/>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Изделия;</w:t>
      </w:r>
    </w:p>
    <w:p w:rsidR="00630E43" w:rsidRPr="00630E43" w:rsidRDefault="00630E43" w:rsidP="00630E43">
      <w:pPr>
        <w:numPr>
          <w:ilvl w:val="0"/>
          <w:numId w:val="5"/>
        </w:numPr>
        <w:ind w:left="0" w:right="9"/>
        <w:jc w:val="both"/>
        <w:rPr>
          <w:color w:val="000000"/>
        </w:rPr>
      </w:pPr>
      <w:r w:rsidRPr="00630E43">
        <w:rPr>
          <w:color w:val="000000"/>
        </w:rPr>
        <w:t>в пункте (пунктах) приема Получателей, организованных Исполнителем.</w:t>
      </w:r>
    </w:p>
    <w:p w:rsidR="00630E43" w:rsidRPr="00630E43" w:rsidRDefault="00630E43" w:rsidP="00630E43">
      <w:pPr>
        <w:ind w:right="9"/>
        <w:jc w:val="both"/>
        <w:rPr>
          <w:color w:val="000000"/>
        </w:rPr>
      </w:pPr>
      <w:r w:rsidRPr="00630E43">
        <w:rPr>
          <w:color w:val="000000"/>
        </w:rPr>
        <w:t>Доставка Изделий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Исполнителя.</w:t>
      </w:r>
    </w:p>
    <w:p w:rsidR="00630E43" w:rsidRPr="00630E43" w:rsidRDefault="00630E43" w:rsidP="00630E43">
      <w:pPr>
        <w:autoSpaceDE w:val="0"/>
        <w:autoSpaceDN w:val="0"/>
        <w:adjustRightInd w:val="0"/>
        <w:contextualSpacing/>
        <w:jc w:val="both"/>
        <w:rPr>
          <w:color w:val="000000"/>
          <w:lang w:eastAsia="en-US"/>
        </w:rPr>
      </w:pPr>
      <w:r w:rsidRPr="00630E43">
        <w:rPr>
          <w:color w:val="000000"/>
          <w:lang w:eastAsia="en-US"/>
        </w:rPr>
        <w:t xml:space="preserve">5.2 В целях реализации возможности получения Изделия Получателем через пункт (пункты) приема Получателей и недопущения длительного ожидания в очереди при получении Изделия Исполнитель должен организовать не менее 1 (одного) пункта приема Получателей в срок не позднее 1 (одного) рабочего дня с даты заключения государственного контракта в г. Санкт-Петербург, которые должны действовать до конца выдачи Изделий, согласно условиям Технического задания. Исполнитель вправе организовать дополнительные Пункты приема Получателей в Ленинградской области. Пункты приема Получателей должны быть организованы в различных районах Санкт-Петербурга и Ленинградской области. </w:t>
      </w:r>
    </w:p>
    <w:p w:rsidR="00630E43" w:rsidRPr="00630E43" w:rsidRDefault="00630E43" w:rsidP="00630E43">
      <w:pPr>
        <w:autoSpaceDE w:val="0"/>
        <w:autoSpaceDN w:val="0"/>
        <w:adjustRightInd w:val="0"/>
        <w:contextualSpacing/>
        <w:jc w:val="both"/>
        <w:rPr>
          <w:color w:val="000000"/>
          <w:lang w:eastAsia="en-US"/>
        </w:rPr>
      </w:pPr>
      <w:r w:rsidRPr="00630E43">
        <w:rPr>
          <w:color w:val="000000"/>
          <w:lang w:eastAsia="en-US"/>
        </w:rPr>
        <w:t>Пункт (пункты) приема Получателей, организованные на территории Санкт-Петербурга, должны быть расположены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 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630E43" w:rsidRPr="00630E43" w:rsidRDefault="00630E43" w:rsidP="00630E43">
      <w:pPr>
        <w:autoSpaceDE w:val="0"/>
        <w:autoSpaceDN w:val="0"/>
        <w:adjustRightInd w:val="0"/>
        <w:contextualSpacing/>
        <w:jc w:val="both"/>
        <w:rPr>
          <w:color w:val="000000"/>
          <w:lang w:eastAsia="en-US"/>
        </w:rPr>
      </w:pPr>
      <w:r w:rsidRPr="00630E43">
        <w:rPr>
          <w:color w:val="000000"/>
          <w:lang w:eastAsia="en-US"/>
        </w:rPr>
        <w:t>В соответствии с частью 2 статьи 12 Федерального закона от 30.12.2009 № 384-ФЗ «Технический регламент о безопасности зданий и сооружений» 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630E43" w:rsidRPr="00630E43" w:rsidRDefault="00630E43" w:rsidP="00630E43">
      <w:pPr>
        <w:autoSpaceDE w:val="0"/>
        <w:autoSpaceDN w:val="0"/>
        <w:adjustRightInd w:val="0"/>
        <w:contextualSpacing/>
        <w:jc w:val="both"/>
        <w:rPr>
          <w:color w:val="000000"/>
          <w:lang w:eastAsia="en-US"/>
        </w:rPr>
      </w:pPr>
      <w:r w:rsidRPr="00630E43">
        <w:rPr>
          <w:color w:val="000000"/>
          <w:lang w:eastAsia="en-US"/>
        </w:rPr>
        <w:t>В городе Санкт-Петербург таким объектом транспортной инфраструктуры, отвечающим установленным требованиям, является метрополитен.</w:t>
      </w:r>
    </w:p>
    <w:p w:rsidR="00630E43" w:rsidRPr="00630E43" w:rsidRDefault="00630E43" w:rsidP="00630E43">
      <w:pPr>
        <w:autoSpaceDE w:val="0"/>
        <w:autoSpaceDN w:val="0"/>
        <w:adjustRightInd w:val="0"/>
        <w:contextualSpacing/>
        <w:jc w:val="both"/>
        <w:rPr>
          <w:color w:val="000000"/>
          <w:lang w:eastAsia="en-US"/>
        </w:rPr>
      </w:pPr>
      <w:r w:rsidRPr="00630E43">
        <w:rPr>
          <w:color w:val="000000"/>
          <w:lang w:eastAsia="en-US"/>
        </w:rPr>
        <w:t>Пункты приема Получателей, организованные на территории Ленинградской области должны находиться на территории административных центров муниципальных районов, административного центра городского округа, в пешей доступности от остановок общественного транспорта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630E43" w:rsidRPr="00630E43" w:rsidRDefault="00630E43" w:rsidP="00630E43">
      <w:pPr>
        <w:autoSpaceDE w:val="0"/>
        <w:autoSpaceDN w:val="0"/>
        <w:adjustRightInd w:val="0"/>
        <w:contextualSpacing/>
        <w:jc w:val="both"/>
        <w:rPr>
          <w:color w:val="000000"/>
          <w:lang w:eastAsia="en-US"/>
        </w:rPr>
      </w:pPr>
      <w:r w:rsidRPr="00630E43">
        <w:rPr>
          <w:color w:val="000000"/>
          <w:lang w:eastAsia="en-US"/>
        </w:rPr>
        <w:t xml:space="preserve">Требования к организации пунктов приема Получателей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630E43" w:rsidRPr="00630E43" w:rsidRDefault="00630E43" w:rsidP="00630E43">
      <w:pPr>
        <w:autoSpaceDE w:val="0"/>
        <w:autoSpaceDN w:val="0"/>
        <w:adjustRightInd w:val="0"/>
        <w:contextualSpacing/>
        <w:jc w:val="both"/>
        <w:rPr>
          <w:color w:val="000000"/>
          <w:lang w:eastAsia="en-US"/>
        </w:rPr>
      </w:pPr>
      <w:r w:rsidRPr="00630E43">
        <w:rPr>
          <w:color w:val="000000"/>
          <w:lang w:eastAsia="en-US"/>
        </w:rPr>
        <w:lastRenderedPageBreak/>
        <w:t>Не позднее 1 (одного) рабочего дня с даты заключения государственного контракта Исполнитель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rsidR="00630E43" w:rsidRPr="00630E43" w:rsidRDefault="00630E43" w:rsidP="00630E43">
      <w:pPr>
        <w:jc w:val="both"/>
      </w:pPr>
      <w:r w:rsidRPr="00630E43">
        <w:rPr>
          <w:color w:val="000000"/>
          <w:lang w:eastAsia="en-US"/>
        </w:rPr>
        <w:t>Не позднее 1 (одного) рабочего дня с даты заключения государственного контракта Исполнитель передает Заказчику копии документов, подтверждающих право Исполнителя использовать помещения пункта (пунктов) приема Получателей,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630E43" w:rsidRPr="00630E43" w:rsidRDefault="00630E43" w:rsidP="00630E43">
      <w:pPr>
        <w:jc w:val="both"/>
      </w:pPr>
      <w:r w:rsidRPr="00630E43">
        <w:t>5.3. Исполнитель обязан предоставить доступные для людей с инвалидностью помещения под размещение пункта (пунктов) приема Получателей в соответствии со статьей 15 Федерального закона от 24.11.1995 № 181 «О социальной защите инвалидов в Российской Федерации.</w:t>
      </w:r>
    </w:p>
    <w:p w:rsidR="00630E43" w:rsidRPr="00630E43" w:rsidRDefault="00630E43" w:rsidP="00630E43">
      <w:pPr>
        <w:jc w:val="both"/>
      </w:pPr>
      <w:r w:rsidRPr="00630E43">
        <w:t>Вход в каждый пункт (пункты) приема Получателей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приема Получателей. Проход в пункт (пункты) приема Получателей и передвижение по ним должны быть беспрепятственны для инвалидов (в случае необходимости, пункты приема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 (далее - СП 59.13330.2020). Исполнителем должна быть обеспечена возможность самостоятельного передвижения инвалидов по территории пункта (пунктов) приема Получателей, в том числе с помощью его работников, а также сменного кресла-коляски.</w:t>
      </w:r>
    </w:p>
    <w:p w:rsidR="00630E43" w:rsidRPr="00630E43" w:rsidRDefault="00630E43" w:rsidP="00630E43">
      <w:pPr>
        <w:jc w:val="both"/>
      </w:pPr>
      <w:r w:rsidRPr="00630E43">
        <w:rPr>
          <w:b/>
          <w:bCs/>
        </w:rPr>
        <w:t>Входная группа</w:t>
      </w:r>
      <w:r w:rsidRPr="00630E43">
        <w:t xml:space="preserve"> </w:t>
      </w:r>
    </w:p>
    <w:p w:rsidR="00630E43" w:rsidRPr="00630E43" w:rsidRDefault="00630E43" w:rsidP="00630E43">
      <w:pPr>
        <w:jc w:val="both"/>
      </w:pPr>
      <w:r w:rsidRPr="00630E43">
        <w:t>При перепадах высот исполнитель должен учитывать наличие следующих элементов:</w:t>
      </w:r>
    </w:p>
    <w:p w:rsidR="00630E43" w:rsidRPr="00630E43" w:rsidRDefault="00630E43" w:rsidP="00630E43">
      <w:pPr>
        <w:jc w:val="both"/>
      </w:pPr>
      <w:r w:rsidRPr="00630E43">
        <w:t>- Пандус с поручнями;</w:t>
      </w:r>
    </w:p>
    <w:p w:rsidR="00630E43" w:rsidRPr="00630E43" w:rsidRDefault="00630E43" w:rsidP="00630E43">
      <w:pPr>
        <w:jc w:val="both"/>
      </w:pPr>
      <w:r w:rsidRPr="00630E43">
        <w:t>(в соответствии с п. 5.1.14 – п. 5.1.16; п. 6.1.2 – п. 6.1.4; п. 6.2.9 – п. 6.2.11 СП 59.13330.2020);</w:t>
      </w:r>
    </w:p>
    <w:p w:rsidR="00630E43" w:rsidRPr="00630E43" w:rsidRDefault="00630E43" w:rsidP="00630E43">
      <w:pPr>
        <w:jc w:val="both"/>
      </w:pPr>
      <w:r w:rsidRPr="00630E43">
        <w:t>Пандус должен иметь нормативный угол наклона, непрерывное двухстороннее ограждение с поручнями шириной не более 0,9 - 1,0 метра, высотой нижних поручней 0,7 м, а верхних 0,9 м.</w:t>
      </w:r>
    </w:p>
    <w:p w:rsidR="00630E43" w:rsidRPr="00630E43" w:rsidRDefault="00630E43" w:rsidP="00630E43">
      <w:pPr>
        <w:jc w:val="both"/>
      </w:pPr>
      <w:r w:rsidRPr="00630E43">
        <w:t>- Лестница с поручнями;</w:t>
      </w:r>
    </w:p>
    <w:p w:rsidR="00630E43" w:rsidRPr="00630E43" w:rsidRDefault="00630E43" w:rsidP="00630E43">
      <w:pPr>
        <w:autoSpaceDE w:val="0"/>
        <w:autoSpaceDN w:val="0"/>
        <w:jc w:val="both"/>
      </w:pPr>
      <w:r w:rsidRPr="00630E43">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rsidR="00630E43" w:rsidRPr="00630E43" w:rsidRDefault="00630E43" w:rsidP="00630E43">
      <w:pPr>
        <w:jc w:val="both"/>
      </w:pPr>
      <w:r w:rsidRPr="00630E43">
        <w:t>Краевые ступени (плоскость) лестниц необходимо обеспечить противоскользящими контрастными полосами общей шириной 0,08 - 0,1 м (в соответствии с п. 6.2.8 СП 59.13330.2020).</w:t>
      </w:r>
    </w:p>
    <w:p w:rsidR="00630E43" w:rsidRPr="00630E43" w:rsidRDefault="00630E43" w:rsidP="00630E43">
      <w:pPr>
        <w:jc w:val="both"/>
      </w:pPr>
      <w:r w:rsidRPr="00630E43">
        <w:t>Применение для инвалидов вместо пандусов аппарелей не допускается на объекте (в соответствии с п. 6.1.2 СП 59.13330.2020).</w:t>
      </w:r>
    </w:p>
    <w:p w:rsidR="00630E43" w:rsidRPr="00630E43" w:rsidRDefault="00630E43" w:rsidP="00630E43">
      <w:pPr>
        <w:jc w:val="both"/>
      </w:pPr>
      <w:r w:rsidRPr="00630E43">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 6.1.5, п. 6.1.6, п. 6.2.4 СП 59.13330.2020).</w:t>
      </w:r>
    </w:p>
    <w:p w:rsidR="00630E43" w:rsidRPr="00630E43" w:rsidRDefault="00630E43" w:rsidP="00630E43">
      <w:pPr>
        <w:jc w:val="both"/>
      </w:pPr>
      <w:r w:rsidRPr="00630E43">
        <w:t>- Тактильно-контрастные указатели;</w:t>
      </w:r>
    </w:p>
    <w:p w:rsidR="00630E43" w:rsidRPr="00630E43" w:rsidRDefault="00630E43" w:rsidP="00630E43">
      <w:pPr>
        <w:jc w:val="both"/>
      </w:pPr>
      <w:r w:rsidRPr="00630E43">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630E43" w:rsidRPr="00630E43" w:rsidRDefault="00630E43" w:rsidP="00630E43">
      <w:pPr>
        <w:jc w:val="both"/>
        <w:rPr>
          <w:b/>
          <w:bCs/>
        </w:rPr>
      </w:pPr>
      <w:r w:rsidRPr="00630E43">
        <w:rPr>
          <w:b/>
          <w:bCs/>
        </w:rPr>
        <w:t>Пути движения внутри пункта (пунктов) приема Получателей</w:t>
      </w:r>
    </w:p>
    <w:p w:rsidR="00630E43" w:rsidRPr="00630E43" w:rsidRDefault="00630E43" w:rsidP="00630E43">
      <w:pPr>
        <w:jc w:val="both"/>
      </w:pPr>
      <w:r w:rsidRPr="00630E43">
        <w:t>При перепадах высот Исполнитель должен учитывать наличие следующих элементов:</w:t>
      </w:r>
    </w:p>
    <w:p w:rsidR="00630E43" w:rsidRPr="00630E43" w:rsidRDefault="00630E43" w:rsidP="00630E43">
      <w:pPr>
        <w:jc w:val="both"/>
      </w:pPr>
      <w:r w:rsidRPr="00630E43">
        <w:t xml:space="preserve">- Лифт, подъемная платформа, эскалатор </w:t>
      </w:r>
    </w:p>
    <w:p w:rsidR="00630E43" w:rsidRPr="00630E43" w:rsidRDefault="00630E43" w:rsidP="00630E43">
      <w:pPr>
        <w:jc w:val="both"/>
        <w:rPr>
          <w:b/>
          <w:bCs/>
        </w:rPr>
      </w:pPr>
      <w:r w:rsidRPr="00630E43">
        <w:t>(в соответствии с п. 6.2.13 – п. 6.2.18 СП 59.13330.2020).</w:t>
      </w:r>
      <w:r w:rsidRPr="00630E43">
        <w:rPr>
          <w:b/>
          <w:bCs/>
        </w:rPr>
        <w:t xml:space="preserve"> </w:t>
      </w:r>
    </w:p>
    <w:p w:rsidR="00630E43" w:rsidRPr="00630E43" w:rsidRDefault="00630E43" w:rsidP="00630E43">
      <w:pPr>
        <w:jc w:val="both"/>
      </w:pPr>
      <w:r w:rsidRPr="00630E43">
        <w:t>Лифт должен иметь габариты не менее 1100х1400 мм (ширина х глубина).</w:t>
      </w:r>
    </w:p>
    <w:p w:rsidR="00630E43" w:rsidRPr="00630E43" w:rsidRDefault="00630E43" w:rsidP="00630E43">
      <w:pPr>
        <w:jc w:val="both"/>
        <w:rPr>
          <w:b/>
          <w:bCs/>
        </w:rPr>
      </w:pPr>
      <w:r w:rsidRPr="00630E43">
        <w:t>- Лестницы необходимо обеспечить противоскользящими контрастными полосами общей шириной 0,08 - 0,1 м (в соответствии с п. 6.2.8 СП 59.13330.2020).</w:t>
      </w:r>
    </w:p>
    <w:p w:rsidR="00630E43" w:rsidRPr="00630E43" w:rsidRDefault="00630E43" w:rsidP="00630E43">
      <w:pPr>
        <w:jc w:val="both"/>
      </w:pPr>
      <w:r w:rsidRPr="00630E43">
        <w:t>-   Необходимо обеспечить зону досягаемости для посетителей в кресле-коляске в пределах, установленных в соответствии с п. 8.1.7 СП 59.13330.2020.</w:t>
      </w:r>
    </w:p>
    <w:p w:rsidR="00630E43" w:rsidRPr="00630E43" w:rsidRDefault="00630E43" w:rsidP="00630E43">
      <w:pPr>
        <w:jc w:val="both"/>
      </w:pPr>
      <w:r w:rsidRPr="00630E43">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630E43" w:rsidRPr="00630E43" w:rsidRDefault="00630E43" w:rsidP="00630E43">
      <w:pPr>
        <w:jc w:val="both"/>
      </w:pPr>
      <w:r w:rsidRPr="00630E43">
        <w:lastRenderedPageBreak/>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rsidR="00630E43" w:rsidRPr="00630E43" w:rsidRDefault="00630E43" w:rsidP="00630E43">
      <w:pPr>
        <w:jc w:val="both"/>
      </w:pPr>
      <w:r w:rsidRPr="00630E43">
        <w:t xml:space="preserve">- </w:t>
      </w:r>
      <w:proofErr w:type="gramStart"/>
      <w:r w:rsidRPr="00630E43">
        <w:t>В</w:t>
      </w:r>
      <w:proofErr w:type="gramEnd"/>
      <w:r w:rsidRPr="00630E43">
        <w:t xml:space="preserve">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 6.2.3 СП 59.13330.2020).</w:t>
      </w:r>
    </w:p>
    <w:p w:rsidR="00630E43" w:rsidRPr="00630E43" w:rsidRDefault="00630E43" w:rsidP="00630E43">
      <w:pPr>
        <w:jc w:val="both"/>
        <w:rPr>
          <w:b/>
          <w:bCs/>
        </w:rPr>
      </w:pPr>
      <w:r w:rsidRPr="00630E43">
        <w:rPr>
          <w:b/>
          <w:bCs/>
        </w:rPr>
        <w:t>Пути эвакуации</w:t>
      </w:r>
    </w:p>
    <w:p w:rsidR="00630E43" w:rsidRPr="00630E43" w:rsidRDefault="00630E43" w:rsidP="00630E43">
      <w:pPr>
        <w:jc w:val="both"/>
      </w:pPr>
      <w:r w:rsidRPr="00630E43">
        <w:t xml:space="preserve">В случае невозможности соблюдения положений </w:t>
      </w:r>
      <w:r w:rsidRPr="00630E43">
        <w:rPr>
          <w:shd w:val="clear" w:color="auto" w:fill="FFFFFF"/>
        </w:rPr>
        <w:t xml:space="preserve">части 15 статьи 89 </w:t>
      </w:r>
      <w:hyperlink r:id="rId8" w:history="1">
        <w:r w:rsidRPr="00630E43">
          <w:rPr>
            <w:color w:val="0000FF"/>
            <w:spacing w:val="2"/>
            <w:u w:val="single"/>
          </w:rPr>
          <w:t>Федерального закона от 22.07.2008 №123-ФЗ «Технический регламент о требованиях пожарной безопасности</w:t>
        </w:r>
      </w:hyperlink>
      <w:r w:rsidRPr="00630E43">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«Свод правил. Доступность зданий и сооружений для маломобильных групп населения».</w:t>
      </w:r>
    </w:p>
    <w:p w:rsidR="00630E43" w:rsidRPr="00630E43" w:rsidRDefault="00630E43" w:rsidP="00630E43">
      <w:pPr>
        <w:jc w:val="both"/>
      </w:pPr>
      <w:r w:rsidRPr="00630E43">
        <w:t>Пути эвакуации помещений пункта (пунктов) приема должны обеспечивать безопасность посетителей в соответствии с п. 6.2.19 - п. 6.2.32 СП 59.13330.2020.</w:t>
      </w:r>
    </w:p>
    <w:p w:rsidR="00630E43" w:rsidRPr="00630E43" w:rsidRDefault="00630E43" w:rsidP="00630E43">
      <w:pPr>
        <w:jc w:val="both"/>
      </w:pPr>
      <w:r w:rsidRPr="00630E43">
        <w:t>Обеспечить систему двухсторонней связи с диспетчером или дежурным (в соответствии с п. 6.5.8 СП 59.13330.2020).</w:t>
      </w:r>
    </w:p>
    <w:p w:rsidR="00630E43" w:rsidRPr="00630E43" w:rsidRDefault="00630E43" w:rsidP="00630E43">
      <w:pPr>
        <w:jc w:val="both"/>
      </w:pPr>
      <w:r w:rsidRPr="00630E43">
        <w:t xml:space="preserve">5.4. На территории пункта приема должны иметься туалетные комнаты, оборудованные для посещения Получателями в соответствии с п. 5.22. </w:t>
      </w:r>
      <w:r w:rsidRPr="00630E43">
        <w:rPr>
          <w:spacing w:val="2"/>
          <w:shd w:val="clear" w:color="auto" w:fill="FFFFFF"/>
        </w:rPr>
        <w:t>СП 44.13330.2011 Административные и бытовые здания. Актуализированная редакция СНиП 2.09.04-87 (с Поправкой, с Изменениями №1, 2, 3)</w:t>
      </w:r>
      <w:r w:rsidRPr="00630E43">
        <w:t xml:space="preserve">, со свободным доступом Получателей. При чем не менее 1 (одной) оборудованной для посещения инвалидами в соответствии с п. 6.3.3, 6.3.6, </w:t>
      </w:r>
      <w:r w:rsidRPr="00630E43">
        <w:rPr>
          <w:spacing w:val="2"/>
          <w:shd w:val="clear" w:color="auto" w:fill="FFFFFF"/>
        </w:rPr>
        <w:t>6.3.9</w:t>
      </w:r>
      <w:r w:rsidRPr="00630E43">
        <w:t xml:space="preserve"> СП 59.13330.2020.</w:t>
      </w:r>
    </w:p>
    <w:p w:rsidR="00630E43" w:rsidRPr="00630E43" w:rsidRDefault="00630E43" w:rsidP="00630E43">
      <w:pPr>
        <w:jc w:val="both"/>
      </w:pPr>
      <w:r w:rsidRPr="00630E43">
        <w:t xml:space="preserve">5.5. Пункты приема Получателей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Получателей не позволяет обеспечить достижение указанного показателя, Исполнителем оборудуются дополнительные окна обслуживания. </w:t>
      </w:r>
    </w:p>
    <w:p w:rsidR="00630E43" w:rsidRPr="00630E43" w:rsidRDefault="00630E43" w:rsidP="00630E43">
      <w:pPr>
        <w:jc w:val="both"/>
      </w:pPr>
      <w:r w:rsidRPr="00630E43">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Получателей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630E43" w:rsidRPr="00630E43" w:rsidRDefault="00630E43" w:rsidP="00630E43">
      <w:pPr>
        <w:jc w:val="both"/>
      </w:pPr>
      <w:r w:rsidRPr="00630E43">
        <w:t>5.7. Изделия должны находиться на складе пункта (пунктов) приема Получателей,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630E43" w:rsidRPr="00630E43" w:rsidRDefault="00630E43" w:rsidP="00630E43">
      <w:pPr>
        <w:jc w:val="both"/>
      </w:pPr>
      <w:r w:rsidRPr="00630E43">
        <w:t>5.8. Пункт (пункты) приема Получателей должны иметь следующие условия доступности в соответствии с Приказом Министерства труда и социальной защиты Российской Федерации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630E43" w:rsidRPr="00630E43" w:rsidRDefault="00630E43" w:rsidP="00630E43">
      <w:pPr>
        <w:numPr>
          <w:ilvl w:val="0"/>
          <w:numId w:val="6"/>
        </w:numPr>
        <w:ind w:left="0"/>
        <w:jc w:val="both"/>
      </w:pPr>
      <w:r w:rsidRPr="00630E43">
        <w:t>возможность беспрепятственного входа в объекты и выхода из них;</w:t>
      </w:r>
    </w:p>
    <w:p w:rsidR="00630E43" w:rsidRPr="00630E43" w:rsidRDefault="00630E43" w:rsidP="00630E43">
      <w:pPr>
        <w:numPr>
          <w:ilvl w:val="0"/>
          <w:numId w:val="6"/>
        </w:numPr>
        <w:ind w:left="0"/>
        <w:jc w:val="both"/>
      </w:pPr>
      <w:r w:rsidRPr="00630E43">
        <w:t xml:space="preserve">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630E43">
        <w:t>ассистивных</w:t>
      </w:r>
      <w:proofErr w:type="spellEnd"/>
      <w:r w:rsidRPr="00630E43">
        <w:t xml:space="preserve"> и вспомогательных технологий, а также сменного кресла-коляски;</w:t>
      </w:r>
    </w:p>
    <w:p w:rsidR="00630E43" w:rsidRPr="00630E43" w:rsidRDefault="00630E43" w:rsidP="00630E43">
      <w:pPr>
        <w:numPr>
          <w:ilvl w:val="0"/>
          <w:numId w:val="6"/>
        </w:numPr>
        <w:ind w:left="0"/>
        <w:jc w:val="both"/>
      </w:pPr>
      <w:r w:rsidRPr="00630E43">
        <w:t>сопровождение инвалидов, имеющих стойкие нарушения функции зрения и самостоятельного передвижения по территории объекта;</w:t>
      </w:r>
    </w:p>
    <w:p w:rsidR="00630E43" w:rsidRPr="00630E43" w:rsidRDefault="00630E43" w:rsidP="00630E43">
      <w:pPr>
        <w:numPr>
          <w:ilvl w:val="0"/>
          <w:numId w:val="6"/>
        </w:numPr>
        <w:ind w:left="0"/>
        <w:jc w:val="both"/>
      </w:pPr>
      <w:r w:rsidRPr="00630E43">
        <w:t>содействие инвалиду при входе в объект и выходе из него, информирование инвалида о доступных маршрутах общественного транспорта;</w:t>
      </w:r>
    </w:p>
    <w:p w:rsidR="00630E43" w:rsidRPr="00630E43" w:rsidRDefault="00630E43" w:rsidP="00630E43">
      <w:pPr>
        <w:numPr>
          <w:ilvl w:val="0"/>
          <w:numId w:val="6"/>
        </w:numPr>
        <w:ind w:left="0"/>
        <w:jc w:val="both"/>
      </w:pPr>
      <w:r w:rsidRPr="00630E43">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30E43" w:rsidRPr="00630E43" w:rsidRDefault="00630E43" w:rsidP="00630E43">
      <w:pPr>
        <w:numPr>
          <w:ilvl w:val="0"/>
          <w:numId w:val="6"/>
        </w:numPr>
        <w:ind w:left="0"/>
        <w:jc w:val="both"/>
      </w:pPr>
      <w:r w:rsidRPr="00630E43">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9" w:anchor="block_1000" w:history="1">
        <w:r w:rsidRPr="00630E43">
          <w:rPr>
            <w:color w:val="0000FF"/>
            <w:u w:val="single"/>
          </w:rPr>
          <w:t>форме</w:t>
        </w:r>
      </w:hyperlink>
      <w:r w:rsidRPr="00630E43">
        <w:t xml:space="preserve"> и в </w:t>
      </w:r>
      <w:hyperlink r:id="rId10" w:anchor="block_2000" w:history="1">
        <w:r w:rsidRPr="00630E43">
          <w:rPr>
            <w:color w:val="0000FF"/>
            <w:u w:val="single"/>
          </w:rPr>
          <w:t>порядке</w:t>
        </w:r>
      </w:hyperlink>
      <w:r w:rsidRPr="00630E43">
        <w:t xml:space="preserve">, утвержденных </w:t>
      </w:r>
      <w:hyperlink r:id="rId11" w:history="1">
        <w:r w:rsidRPr="00630E43">
          <w:rPr>
            <w:color w:val="0000FF"/>
            <w:u w:val="single"/>
          </w:rPr>
          <w:t>приказом</w:t>
        </w:r>
      </w:hyperlink>
      <w:r w:rsidRPr="00630E43">
        <w:t xml:space="preserve"> Министерства труда и социальной защиты Российской Федерации от 22 </w:t>
      </w:r>
      <w:r w:rsidRPr="00630E43">
        <w:lastRenderedPageBreak/>
        <w:t>июня 2015 года № 386 н (зарегистрирован Министерством юстиции Российской Федерации 21 июля 2015 года, регистрационный № 38115).</w:t>
      </w:r>
    </w:p>
    <w:p w:rsidR="00630E43" w:rsidRPr="00630E43" w:rsidRDefault="00630E43" w:rsidP="00630E43">
      <w:pPr>
        <w:jc w:val="both"/>
      </w:pPr>
      <w:r w:rsidRPr="00630E43">
        <w:t>5.9 Пункты должны обеспечивать прием Получателей не менее 6 (шести) дней в неделю, не менее 40 часов в неделю, при этом, время работы пункта (пунктов) должно попадать в интервал с 08:00 до 22:00.</w:t>
      </w:r>
    </w:p>
    <w:p w:rsidR="00630E43" w:rsidRPr="00630E43" w:rsidRDefault="00630E43" w:rsidP="00630E43">
      <w:pPr>
        <w:jc w:val="both"/>
      </w:pPr>
      <w:r w:rsidRPr="00630E43">
        <w:t>6. В случае получения Изделий путем передачи Изделий по месту нахождения Получателя, такая доставка осуществляется Исполнителем в пределах Санкт-Петербурга и Ленинградской области, не менее чем с 10:00 до 21:00 не менее 6 (шести) дней в неделю, по предварительной записи по номеру телефона, предоставленному Заказчику в срок не позднее 1 (одного) рабочего дня с даты заключения государственного контракта. Доставка осуществляется за счет средств Исполнителя.</w:t>
      </w:r>
    </w:p>
    <w:p w:rsidR="00630E43" w:rsidRPr="00630E43" w:rsidRDefault="00630E43" w:rsidP="00630E43">
      <w:pPr>
        <w:jc w:val="both"/>
      </w:pPr>
      <w:r w:rsidRPr="00630E43">
        <w:t>Исполнитель обязан информировать Заказчика о невозможности доставки Изделия Получателю не позднее дня, следующего за днем доставки, согласованным с Получателем.</w:t>
      </w:r>
    </w:p>
    <w:p w:rsidR="00630E43" w:rsidRPr="00630E43" w:rsidRDefault="00630E43" w:rsidP="00630E43">
      <w:pPr>
        <w:jc w:val="both"/>
      </w:pPr>
      <w:r w:rsidRPr="00630E43">
        <w:t>7. Выполнять работы по изготовлению Изделий по индивидуальным размерам Получателей, выдачу Изделий, обучение пользованию Изделиями в срок не более 60 (шестидесяти) календарных дней со дня обращения Получателя.</w:t>
      </w:r>
    </w:p>
    <w:p w:rsidR="00630E43" w:rsidRPr="00630E43" w:rsidRDefault="00630E43" w:rsidP="00630E43">
      <w:pPr>
        <w:jc w:val="both"/>
      </w:pPr>
      <w:r w:rsidRPr="00630E43">
        <w:t xml:space="preserve">8. С целью подтверждения соответствия изготовляемых Изделий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Изделий и соответствия пункта (пунктов) приема Получателей требованиям технического задания. При проведении проверки Заказчик вправе осуществлять </w:t>
      </w:r>
      <w:proofErr w:type="spellStart"/>
      <w:r w:rsidRPr="00630E43">
        <w:t>фотофиксацию</w:t>
      </w:r>
      <w:proofErr w:type="spellEnd"/>
      <w:r w:rsidRPr="00630E43">
        <w:t xml:space="preserve"> и/или видеозапись.</w:t>
      </w:r>
    </w:p>
    <w:p w:rsidR="00630E43" w:rsidRPr="00630E43" w:rsidRDefault="00630E43" w:rsidP="00630E43">
      <w:pPr>
        <w:jc w:val="both"/>
        <w:rPr>
          <w:b/>
          <w:bCs/>
        </w:rPr>
      </w:pPr>
      <w:r w:rsidRPr="00630E43">
        <w:t xml:space="preserve">9. В случаях отказа от Изделия Получателя, Исполнитель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w:t>
      </w:r>
      <w:hyperlink r:id="rId12" w:history="1">
        <w:r w:rsidRPr="00630E43">
          <w:rPr>
            <w:color w:val="0000FF"/>
            <w:u w:val="single"/>
          </w:rPr>
          <w:t>osp@ro78.fss.ru</w:t>
        </w:r>
      </w:hyperlink>
      <w:r w:rsidRPr="00630E43">
        <w:t xml:space="preserve">, </w:t>
      </w:r>
      <w:hyperlink r:id="rId13" w:history="1">
        <w:r w:rsidRPr="00630E43">
          <w:rPr>
            <w:color w:val="0000FF"/>
            <w:u w:val="single"/>
          </w:rPr>
          <w:t>tsrfil31@ro78.fss.ru</w:t>
        </w:r>
      </w:hyperlink>
      <w:r w:rsidRPr="00630E43">
        <w:rPr>
          <w:i/>
          <w:iCs/>
        </w:rPr>
        <w:t>.</w:t>
      </w:r>
    </w:p>
    <w:p w:rsidR="00630E43" w:rsidRPr="00630E43" w:rsidRDefault="00630E43" w:rsidP="00630E43">
      <w:pPr>
        <w:jc w:val="both"/>
      </w:pPr>
    </w:p>
    <w:p w:rsidR="00630E43" w:rsidRPr="00630E43" w:rsidRDefault="00630E43" w:rsidP="00630E43"/>
    <w:p w:rsidR="00630E43" w:rsidRPr="00630E43" w:rsidRDefault="00630E43" w:rsidP="00630E43"/>
    <w:p w:rsidR="00630E43" w:rsidRPr="00630E43" w:rsidRDefault="00630E43" w:rsidP="00630E43">
      <w:pPr>
        <w:rPr>
          <w:b/>
        </w:rPr>
      </w:pPr>
    </w:p>
    <w:p w:rsidR="00630E43" w:rsidRPr="00630E43" w:rsidRDefault="00630E43" w:rsidP="00630E43">
      <w:pPr>
        <w:spacing w:line="242" w:lineRule="auto"/>
        <w:ind w:right="9"/>
        <w:jc w:val="both"/>
        <w:rPr>
          <w:rFonts w:eastAsia="Times New Roman"/>
          <w:b/>
          <w:color w:val="000000"/>
        </w:rPr>
      </w:pPr>
    </w:p>
    <w:p w:rsidR="00630E43" w:rsidRPr="00630E43" w:rsidRDefault="00630E43" w:rsidP="00630E43">
      <w:pPr>
        <w:jc w:val="center"/>
        <w:rPr>
          <w:b/>
        </w:rPr>
      </w:pPr>
    </w:p>
    <w:p w:rsidR="00630E43" w:rsidRPr="00630E43" w:rsidRDefault="00630E43" w:rsidP="00630E43">
      <w:pPr>
        <w:rPr>
          <w:b/>
        </w:rPr>
      </w:pPr>
    </w:p>
    <w:p w:rsidR="00630E43" w:rsidRPr="00630E43" w:rsidRDefault="00630E43" w:rsidP="00630E43">
      <w:pPr>
        <w:spacing w:line="242" w:lineRule="auto"/>
        <w:ind w:right="9"/>
        <w:jc w:val="both"/>
        <w:rPr>
          <w:rFonts w:eastAsia="Times New Roman"/>
          <w:b/>
          <w:color w:val="000000"/>
        </w:rPr>
      </w:pPr>
    </w:p>
    <w:p w:rsidR="00630E43" w:rsidRPr="00630E43" w:rsidRDefault="00630E43" w:rsidP="00630E43">
      <w:pPr>
        <w:jc w:val="center"/>
        <w:rPr>
          <w:b/>
        </w:rPr>
      </w:pPr>
    </w:p>
    <w:p w:rsidR="000E5BA1" w:rsidRPr="00F97722" w:rsidRDefault="000E5BA1" w:rsidP="00F97722"/>
    <w:sectPr w:rsidR="000E5BA1" w:rsidRPr="00F97722" w:rsidSect="00696CA0">
      <w:footnotePr>
        <w:numFmt w:val="chicago"/>
      </w:footnotePr>
      <w:pgSz w:w="11906" w:h="16838"/>
      <w:pgMar w:top="284" w:right="566"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14CE"/>
    <w:multiLevelType w:val="multilevel"/>
    <w:tmpl w:val="D03ACCAE"/>
    <w:lvl w:ilvl="0">
      <w:start w:val="5"/>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
    <w:nsid w:val="1EA142F0"/>
    <w:multiLevelType w:val="hybridMultilevel"/>
    <w:tmpl w:val="8898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560875"/>
    <w:multiLevelType w:val="hybridMultilevel"/>
    <w:tmpl w:val="2486AC0C"/>
    <w:lvl w:ilvl="0" w:tplc="982C3E56">
      <w:start w:val="1"/>
      <w:numFmt w:val="bullet"/>
      <w:lvlText w:val="-"/>
      <w:lvlJc w:val="left"/>
      <w:pPr>
        <w:ind w:left="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4C0F9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90D79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C0BEA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90AAA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F6789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0E167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B2DB0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D80E3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F2146A"/>
    <w:multiLevelType w:val="hybridMultilevel"/>
    <w:tmpl w:val="BCBACB62"/>
    <w:lvl w:ilvl="0" w:tplc="6E94C742">
      <w:start w:val="1"/>
      <w:numFmt w:val="bullet"/>
      <w:lvlText w:val="-"/>
      <w:lvlJc w:val="left"/>
      <w:pPr>
        <w:ind w:left="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94E322">
      <w:start w:val="1"/>
      <w:numFmt w:val="bullet"/>
      <w:lvlText w:val="o"/>
      <w:lvlJc w:val="left"/>
      <w:pPr>
        <w:ind w:left="1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BC4C76">
      <w:start w:val="1"/>
      <w:numFmt w:val="bullet"/>
      <w:lvlText w:val="▪"/>
      <w:lvlJc w:val="left"/>
      <w:pPr>
        <w:ind w:left="1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EE69B0">
      <w:start w:val="1"/>
      <w:numFmt w:val="bullet"/>
      <w:lvlText w:val="•"/>
      <w:lvlJc w:val="left"/>
      <w:pPr>
        <w:ind w:left="2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A4B99C">
      <w:start w:val="1"/>
      <w:numFmt w:val="bullet"/>
      <w:lvlText w:val="o"/>
      <w:lvlJc w:val="left"/>
      <w:pPr>
        <w:ind w:left="3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F6E26A">
      <w:start w:val="1"/>
      <w:numFmt w:val="bullet"/>
      <w:lvlText w:val="▪"/>
      <w:lvlJc w:val="left"/>
      <w:pPr>
        <w:ind w:left="3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52A568">
      <w:start w:val="1"/>
      <w:numFmt w:val="bullet"/>
      <w:lvlText w:val="•"/>
      <w:lvlJc w:val="left"/>
      <w:pPr>
        <w:ind w:left="4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4681A8">
      <w:start w:val="1"/>
      <w:numFmt w:val="bullet"/>
      <w:lvlText w:val="o"/>
      <w:lvlJc w:val="left"/>
      <w:pPr>
        <w:ind w:left="5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E47908">
      <w:start w:val="1"/>
      <w:numFmt w:val="bullet"/>
      <w:lvlText w:val="▪"/>
      <w:lvlJc w:val="left"/>
      <w:pPr>
        <w:ind w:left="6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0F"/>
    <w:rsid w:val="000E5BA1"/>
    <w:rsid w:val="000F4A99"/>
    <w:rsid w:val="0029049E"/>
    <w:rsid w:val="002A5BC2"/>
    <w:rsid w:val="00630E43"/>
    <w:rsid w:val="00632205"/>
    <w:rsid w:val="00813845"/>
    <w:rsid w:val="008C2545"/>
    <w:rsid w:val="009C0E17"/>
    <w:rsid w:val="00BE240F"/>
    <w:rsid w:val="00C7051C"/>
    <w:rsid w:val="00D32D50"/>
    <w:rsid w:val="00D421D7"/>
    <w:rsid w:val="00E75733"/>
    <w:rsid w:val="00F46547"/>
    <w:rsid w:val="00F52469"/>
    <w:rsid w:val="00F97722"/>
    <w:rsid w:val="00FB6814"/>
    <w:rsid w:val="00FD03F2"/>
    <w:rsid w:val="00FF1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B55B7-70F0-4FA2-94D3-B0BE13F3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46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52469"/>
    <w:rPr>
      <w:rFonts w:cs="Times New Roman"/>
      <w:color w:val="0000FF"/>
      <w:u w:val="single"/>
    </w:rPr>
  </w:style>
  <w:style w:type="paragraph" w:styleId="a4">
    <w:name w:val="List Paragraph"/>
    <w:basedOn w:val="a"/>
    <w:link w:val="a5"/>
    <w:uiPriority w:val="34"/>
    <w:qFormat/>
    <w:rsid w:val="00F52469"/>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0F4A99"/>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39"/>
    <w:rsid w:val="00FF1BF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basedOn w:val="a0"/>
    <w:link w:val="a4"/>
    <w:uiPriority w:val="34"/>
    <w:rsid w:val="00FF1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2620598" TargetMode="External"/><Relationship Id="rId13" Type="http://schemas.openxmlformats.org/officeDocument/2006/relationships/hyperlink" Target="mailto:tsrfil31@ro78.fss.ru" TargetMode="External"/><Relationship Id="rId3" Type="http://schemas.openxmlformats.org/officeDocument/2006/relationships/settings" Target="settings.xml"/><Relationship Id="rId7" Type="http://schemas.openxmlformats.org/officeDocument/2006/relationships/hyperlink" Target="mailto:osp@ro78.fss.ru" TargetMode="External"/><Relationship Id="rId12" Type="http://schemas.openxmlformats.org/officeDocument/2006/relationships/hyperlink" Target="mailto:osp@ro78.f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rfil31@ro78.fss.ru" TargetMode="External"/><Relationship Id="rId11" Type="http://schemas.openxmlformats.org/officeDocument/2006/relationships/hyperlink" Target="http://base.garant.ru/71145140/" TargetMode="External"/><Relationship Id="rId5" Type="http://schemas.openxmlformats.org/officeDocument/2006/relationships/hyperlink" Target="mailto:osp@ro78.fss.ru" TargetMode="External"/><Relationship Id="rId15" Type="http://schemas.openxmlformats.org/officeDocument/2006/relationships/theme" Target="theme/theme1.xml"/><Relationship Id="rId10" Type="http://schemas.openxmlformats.org/officeDocument/2006/relationships/hyperlink" Target="http://base.garant.ru/71145140/f7ee959fd36b5699076b35abf4f52c5c/" TargetMode="External"/><Relationship Id="rId4" Type="http://schemas.openxmlformats.org/officeDocument/2006/relationships/webSettings" Target="webSettings.xml"/><Relationship Id="rId9" Type="http://schemas.openxmlformats.org/officeDocument/2006/relationships/hyperlink" Target="http://base.garant.ru/71145140/53f89421bbdaf741eb2d1ecc4ddb4c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4107</Words>
  <Characters>23415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Харламова Ольга Николаевна</dc:creator>
  <cp:keywords/>
  <dc:description/>
  <cp:lastModifiedBy>Харламова Ольга Николаевна</cp:lastModifiedBy>
  <cp:revision>2</cp:revision>
  <dcterms:created xsi:type="dcterms:W3CDTF">2024-01-30T06:18:00Z</dcterms:created>
  <dcterms:modified xsi:type="dcterms:W3CDTF">2024-01-30T06:18:00Z</dcterms:modified>
</cp:coreProperties>
</file>