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BB" w:rsidRPr="00AD532D" w:rsidRDefault="00D575BB" w:rsidP="00D575BB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D575BB" w:rsidRPr="00AD532D" w:rsidRDefault="00D575BB" w:rsidP="00D575BB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об </w:t>
      </w:r>
      <w:proofErr w:type="gramStart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открытом</w:t>
      </w:r>
      <w:proofErr w:type="gramEnd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D575BB" w:rsidRPr="00AD532D" w:rsidRDefault="00D575BB" w:rsidP="00D575BB">
      <w:pPr>
        <w:keepNext/>
        <w:ind w:left="284"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proofErr w:type="gramStart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аукционе</w:t>
      </w:r>
      <w:proofErr w:type="gramEnd"/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в электронной форме</w:t>
      </w:r>
    </w:p>
    <w:p w:rsidR="00D575BB" w:rsidRPr="00AD532D" w:rsidRDefault="00D575BB" w:rsidP="00D575BB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  <w:sz w:val="22"/>
          <w:szCs w:val="22"/>
        </w:rPr>
      </w:pPr>
      <w:r w:rsidRPr="00AD532D">
        <w:rPr>
          <w:rFonts w:ascii="Times New Roman" w:eastAsia="Lucida Sans Unicode" w:hAnsi="Times New Roman"/>
          <w:kern w:val="2"/>
          <w:sz w:val="22"/>
          <w:szCs w:val="22"/>
        </w:rPr>
        <w:t xml:space="preserve"> </w:t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  <w:r w:rsidRPr="00AD532D">
        <w:rPr>
          <w:rFonts w:ascii="Times New Roman" w:eastAsia="Lucida Sans Unicode" w:hAnsi="Times New Roman"/>
          <w:kern w:val="2"/>
          <w:sz w:val="22"/>
          <w:szCs w:val="22"/>
        </w:rPr>
        <w:tab/>
      </w:r>
    </w:p>
    <w:p w:rsidR="00D575BB" w:rsidRPr="00AD532D" w:rsidRDefault="00D575BB" w:rsidP="00D575BB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D575BB" w:rsidRPr="00AD532D" w:rsidRDefault="00D575BB" w:rsidP="00D575BB">
      <w:pPr>
        <w:keepNext/>
        <w:ind w:left="-142"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EC6ECA" w:rsidRPr="00D575BB" w:rsidRDefault="00EC6ECA" w:rsidP="00D575BB">
      <w:pPr>
        <w:widowControl w:val="0"/>
        <w:shd w:val="clear" w:color="auto" w:fill="FFFFFF"/>
        <w:tabs>
          <w:tab w:val="left" w:pos="142"/>
        </w:tabs>
        <w:ind w:left="-142"/>
        <w:jc w:val="center"/>
        <w:rPr>
          <w:rFonts w:ascii="Times New Roman" w:hAnsi="Times New Roman"/>
          <w:b/>
          <w:color w:val="000000"/>
          <w:spacing w:val="-4"/>
          <w:sz w:val="22"/>
          <w:szCs w:val="22"/>
          <w:lang w:eastAsia="ar-SA"/>
        </w:rPr>
      </w:pPr>
      <w:r w:rsidRPr="00D575BB">
        <w:rPr>
          <w:rFonts w:ascii="Times New Roman" w:hAnsi="Times New Roman"/>
          <w:b/>
          <w:bCs/>
          <w:sz w:val="22"/>
          <w:szCs w:val="22"/>
          <w:lang w:eastAsia="ar-SA"/>
        </w:rPr>
        <w:t>Поставка специальных сре</w:t>
      </w:r>
      <w:proofErr w:type="gramStart"/>
      <w:r w:rsidRPr="00D575BB">
        <w:rPr>
          <w:rFonts w:ascii="Times New Roman" w:hAnsi="Times New Roman"/>
          <w:b/>
          <w:bCs/>
          <w:sz w:val="22"/>
          <w:szCs w:val="22"/>
          <w:lang w:eastAsia="ar-SA"/>
        </w:rPr>
        <w:t>дств пр</w:t>
      </w:r>
      <w:proofErr w:type="gramEnd"/>
      <w:r w:rsidRPr="00D575BB">
        <w:rPr>
          <w:rFonts w:ascii="Times New Roman" w:hAnsi="Times New Roman"/>
          <w:b/>
          <w:bCs/>
          <w:sz w:val="22"/>
          <w:szCs w:val="22"/>
          <w:lang w:eastAsia="ar-SA"/>
        </w:rPr>
        <w:t>и нарушении функции выделения (</w:t>
      </w:r>
      <w:r w:rsidRPr="00D575BB">
        <w:rPr>
          <w:rFonts w:ascii="Times New Roman" w:hAnsi="Times New Roman"/>
          <w:b/>
          <w:color w:val="000000"/>
          <w:spacing w:val="-4"/>
          <w:sz w:val="22"/>
          <w:szCs w:val="22"/>
          <w:lang w:eastAsia="ar-SA"/>
        </w:rPr>
        <w:t>калоприемники</w:t>
      </w:r>
      <w:r w:rsidR="0042782C" w:rsidRPr="00D575BB">
        <w:rPr>
          <w:rFonts w:ascii="Times New Roman" w:hAnsi="Times New Roman"/>
          <w:b/>
          <w:color w:val="000000"/>
          <w:spacing w:val="-4"/>
          <w:sz w:val="22"/>
          <w:szCs w:val="22"/>
          <w:lang w:eastAsia="ar-SA"/>
        </w:rPr>
        <w:t xml:space="preserve"> однокомпонентные</w:t>
      </w:r>
      <w:r w:rsidRPr="00D575BB">
        <w:rPr>
          <w:rFonts w:ascii="Times New Roman" w:hAnsi="Times New Roman"/>
          <w:b/>
          <w:color w:val="000000"/>
          <w:spacing w:val="-4"/>
          <w:sz w:val="22"/>
          <w:szCs w:val="22"/>
          <w:lang w:eastAsia="ar-SA"/>
        </w:rPr>
        <w:t>) для инвалидов в 2023 году</w:t>
      </w:r>
    </w:p>
    <w:tbl>
      <w:tblPr>
        <w:tblStyle w:val="1"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06"/>
        <w:gridCol w:w="6046"/>
        <w:gridCol w:w="1561"/>
      </w:tblGrid>
      <w:tr w:rsidR="00EC6ECA" w:rsidRPr="001016B8" w:rsidTr="002F1F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EC6ECA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016B8">
              <w:rPr>
                <w:rFonts w:ascii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1016B8">
              <w:rPr>
                <w:rFonts w:ascii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EC6ECA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EC6ECA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EC6ECA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EC6ECA" w:rsidRPr="001016B8" w:rsidTr="002F1F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95353F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 xml:space="preserve">Калоприемник для кишечной </w:t>
            </w:r>
            <w:proofErr w:type="spellStart"/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hyperlink r:id="rId5" w:tgtFrame="_blank" w:history="1">
              <w:r w:rsidRPr="001016B8">
                <w:rPr>
                  <w:rStyle w:val="a4"/>
                  <w:rFonts w:ascii="Times New Roman" w:hAnsi="Times New Roman"/>
                  <w:color w:val="0065DD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32.50.13.190-00006906</w:t>
              </w:r>
            </w:hyperlink>
          </w:p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C6ECA" w:rsidRPr="001016B8" w:rsidRDefault="00410EAC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>21-01-01</w:t>
            </w:r>
            <w:r w:rsidR="00D575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C8" w:rsidRPr="001016B8" w:rsidRDefault="006528C8" w:rsidP="00D575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стомы</w:t>
            </w:r>
            <w:proofErr w:type="spellEnd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 и использования в качестве емкости для сбора фекалий после </w:t>
            </w:r>
            <w:proofErr w:type="spellStart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колостомии</w:t>
            </w:r>
            <w:proofErr w:type="spellEnd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илеостомии</w:t>
            </w:r>
            <w:proofErr w:type="spellEnd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 (выделения обычно имеют жидкую консистенцию).</w:t>
            </w:r>
          </w:p>
          <w:p w:rsidR="006528C8" w:rsidRPr="001016B8" w:rsidRDefault="006528C8" w:rsidP="00D575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стомный</w:t>
            </w:r>
            <w:proofErr w:type="spellEnd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гипоаллергенной</w:t>
            </w:r>
            <w:proofErr w:type="spellEnd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стому</w:t>
            </w:r>
            <w:proofErr w:type="spellEnd"/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6528C8" w:rsidRPr="001016B8" w:rsidRDefault="006528C8" w:rsidP="00D575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Мешок из многослойного, непрозрачного, не пропускающего запах материала (плёнки), с односторонним или двусторонним мягким нетканым покрытием, с фильтром или без фильтра, с зажимом или встроенной застёжкой.</w:t>
            </w:r>
          </w:p>
          <w:p w:rsidR="006528C8" w:rsidRPr="001016B8" w:rsidRDefault="006528C8" w:rsidP="00D575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Диаметр вырезаемого отверстия – не менее 60 мм и не более 70 мм.</w:t>
            </w:r>
          </w:p>
          <w:p w:rsidR="00EC6ECA" w:rsidRPr="001016B8" w:rsidRDefault="006528C8" w:rsidP="00D575BB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16B8">
              <w:rPr>
                <w:rFonts w:ascii="Times New Roman" w:eastAsia="Times New Roman" w:hAnsi="Times New Roman"/>
                <w:sz w:val="22"/>
                <w:szCs w:val="22"/>
              </w:rPr>
              <w:t>Диаметр предварительного отверстия – не более 20 мм.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3E63B3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4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2000</w:t>
            </w:r>
          </w:p>
        </w:tc>
      </w:tr>
      <w:tr w:rsidR="00EC6ECA" w:rsidRPr="001016B8" w:rsidTr="002F1F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95353F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2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 xml:space="preserve">Калоприемник для кишечной </w:t>
            </w:r>
            <w:proofErr w:type="spellStart"/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>стомы</w:t>
            </w:r>
            <w:proofErr w:type="spellEnd"/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 xml:space="preserve"> открытого типа, однокомпонентный</w:t>
            </w: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hyperlink r:id="rId6" w:tgtFrame="_blank" w:history="1">
              <w:r w:rsidRPr="001016B8">
                <w:rPr>
                  <w:rStyle w:val="a4"/>
                  <w:rFonts w:ascii="Times New Roman" w:hAnsi="Times New Roman"/>
                  <w:color w:val="0065DD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32.50.13.190-00006906</w:t>
              </w:r>
            </w:hyperlink>
          </w:p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C6ECA" w:rsidRPr="001016B8" w:rsidRDefault="00410EAC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>21-01-01</w:t>
            </w:r>
            <w:r w:rsidR="00D575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5" w:rsidRPr="001016B8" w:rsidRDefault="00662FB5" w:rsidP="00D575B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стомы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и использования в качестве емкости для сбора фекалий после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колостомии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или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илеостомии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(выделения обычно имеют жидкую консистенцию).</w:t>
            </w:r>
          </w:p>
          <w:p w:rsidR="00662FB5" w:rsidRPr="001016B8" w:rsidRDefault="00662FB5" w:rsidP="00D575B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стомный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гипоаллергенной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стому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EC6ECA" w:rsidRPr="001016B8" w:rsidRDefault="00662FB5" w:rsidP="00D575BB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отверстия не менее 80 мм и не более 90 мм. Диаметр предварительного отверстия - не более 20</w:t>
            </w:r>
            <w:r w:rsidR="00D575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016B8">
              <w:rPr>
                <w:rFonts w:ascii="Times New Roman" w:eastAsia="Calibri" w:hAnsi="Times New Roman"/>
                <w:sz w:val="22"/>
                <w:szCs w:val="22"/>
              </w:rPr>
              <w:t>мм.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3E63B3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15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000</w:t>
            </w:r>
          </w:p>
        </w:tc>
      </w:tr>
      <w:tr w:rsidR="00EC6ECA" w:rsidRPr="001016B8" w:rsidTr="002F1F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2275CF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3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</w:pPr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 xml:space="preserve">Калоприемник для </w:t>
            </w:r>
            <w:proofErr w:type="spellStart"/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>колостомы</w:t>
            </w:r>
            <w:proofErr w:type="spellEnd"/>
            <w:r w:rsidRPr="001016B8"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  <w:t xml:space="preserve"> закрытый, однокомпонентный</w:t>
            </w:r>
          </w:p>
          <w:p w:rsidR="00BF6580" w:rsidRPr="001016B8" w:rsidRDefault="00D575BB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BF6580" w:rsidRPr="001016B8">
                <w:rPr>
                  <w:rStyle w:val="a4"/>
                  <w:rFonts w:ascii="Times New Roman" w:hAnsi="Times New Roman"/>
                  <w:color w:val="014DA8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32.50.13.190-00006905</w:t>
              </w:r>
            </w:hyperlink>
          </w:p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</w:pPr>
          </w:p>
          <w:p w:rsidR="00BF6580" w:rsidRPr="001016B8" w:rsidRDefault="00BF6580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color w:val="334059"/>
                <w:sz w:val="22"/>
                <w:szCs w:val="22"/>
                <w:shd w:val="clear" w:color="auto" w:fill="FFFFFF"/>
              </w:rPr>
            </w:pPr>
          </w:p>
          <w:p w:rsidR="00EC6ECA" w:rsidRPr="001016B8" w:rsidRDefault="00410EAC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21-01-03 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Однокомпонентный </w:t>
            </w:r>
            <w:proofErr w:type="spellStart"/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недренируемый</w:t>
            </w:r>
            <w:proofErr w:type="spellEnd"/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калоприемник со встроенной плоской пластиной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B5" w:rsidRPr="001016B8" w:rsidRDefault="00662FB5" w:rsidP="00D575B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стомы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и использования в качестве емкости для сбора фекалий после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колостомии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662FB5" w:rsidRPr="001016B8" w:rsidRDefault="00662FB5" w:rsidP="00D575B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Однокомпонентный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недренируемый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(закрытый) калоприемник со встроенной плоской пластиной -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недренируемый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стомный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гипоаллергенной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стому</w:t>
            </w:r>
            <w:proofErr w:type="spellEnd"/>
            <w:r w:rsidRPr="001016B8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EC6ECA" w:rsidRPr="001016B8" w:rsidRDefault="00662FB5" w:rsidP="00D575BB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016B8">
              <w:rPr>
                <w:rFonts w:ascii="Times New Roman" w:eastAsia="Calibri" w:hAnsi="Times New Roman"/>
                <w:sz w:val="22"/>
                <w:szCs w:val="22"/>
              </w:rPr>
              <w:t>Мешок из многослойного, непрозрачного или прозрачного, не пропускающего запах материала (пленки), с односторонним или двусторонним мягким нетканым покрытием, с фильтром. Диаметр вырезаемого отверстия не менее 60 мм и не более 70 мм. Диаметр предварительного</w:t>
            </w:r>
            <w:r w:rsidR="00D575B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016B8">
              <w:rPr>
                <w:rFonts w:ascii="Times New Roman" w:eastAsia="Calibri" w:hAnsi="Times New Roman"/>
                <w:sz w:val="22"/>
                <w:szCs w:val="22"/>
              </w:rPr>
              <w:t>отверстия - не более 20 мм</w:t>
            </w:r>
            <w:proofErr w:type="gramStart"/>
            <w:r w:rsidRPr="001016B8">
              <w:rPr>
                <w:rFonts w:ascii="Times New Roman" w:eastAsia="Calibri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CA" w:rsidRPr="001016B8" w:rsidRDefault="0095353F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11</w:t>
            </w:r>
            <w:r w:rsidR="00EC6ECA"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00</w:t>
            </w:r>
          </w:p>
        </w:tc>
      </w:tr>
      <w:tr w:rsidR="000E3AD6" w:rsidRPr="001016B8" w:rsidTr="002F1FE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1016B8" w:rsidRDefault="000E3AD6" w:rsidP="00D575BB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D6" w:rsidRPr="001016B8" w:rsidRDefault="000E3AD6" w:rsidP="00D575BB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1016B8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1016B8" w:rsidRDefault="000E3AD6" w:rsidP="00D575BB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D6" w:rsidRPr="001016B8" w:rsidRDefault="002275CF" w:rsidP="00D575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instrText xml:space="preserve"> =SUM(ABOVE) </w:instrText>
            </w: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  <w:lang w:eastAsia="ar-SA"/>
              </w:rPr>
              <w:t>58100</w:t>
            </w: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lastRenderedPageBreak/>
        <w:t>Специальные средства при нарушении функции выделения должны соответствовать: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- ГОСТ Р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- ГОСТ Р 58235-2018 «Специальные средства при нарушении функции выделения. Термины и определения. Классификация»,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- ГОСТ Р 58237-2018 «Средства ухода за кишечными </w:t>
      </w:r>
      <w:proofErr w:type="spellStart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стомами</w:t>
      </w:r>
      <w:proofErr w:type="spellEnd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стомы</w:t>
      </w:r>
      <w:proofErr w:type="spellEnd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. Характеристики и основные требования. Методы испытаний»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- ГОСТ ИСО 10993-1-2011 «Изделия медицинские. Оценка биологического действия медицинских изделий. Часть 1. Оценка и исследования»,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цитотоксичность</w:t>
      </w:r>
      <w:proofErr w:type="spellEnd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: методы </w:t>
      </w:r>
      <w:proofErr w:type="spellStart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in</w:t>
      </w:r>
      <w:proofErr w:type="spellEnd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 </w:t>
      </w:r>
      <w:proofErr w:type="spellStart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vitro</w:t>
      </w:r>
      <w:proofErr w:type="spellEnd"/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»,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- ГОСТ Р 52770-2016 «Изделия медицинские. Требования безопасности. Методы санитарно-химических и токсикологических испытаний».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C6ECA" w:rsidRPr="001016B8" w:rsidRDefault="00EC6ECA" w:rsidP="00D575BB">
      <w:pPr>
        <w:widowControl w:val="0"/>
        <w:suppressAutoHyphens/>
        <w:ind w:firstLine="709"/>
        <w:jc w:val="both"/>
        <w:rPr>
          <w:rFonts w:ascii="Times New Roman" w:hAnsi="Times New Roman"/>
          <w:color w:val="0E141A"/>
          <w:sz w:val="22"/>
          <w:szCs w:val="22"/>
          <w:lang w:eastAsia="ar-SA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EC6ECA" w:rsidRPr="001016B8" w:rsidRDefault="00EC6ECA" w:rsidP="00D575BB">
      <w:pPr>
        <w:keepLines/>
        <w:ind w:firstLine="709"/>
        <w:jc w:val="both"/>
        <w:rPr>
          <w:rFonts w:ascii="Times New Roman" w:hAnsi="Times New Roman"/>
          <w:sz w:val="22"/>
          <w:szCs w:val="22"/>
        </w:rPr>
      </w:pPr>
      <w:r w:rsidRPr="001016B8">
        <w:rPr>
          <w:rFonts w:ascii="Times New Roman" w:hAnsi="Times New Roman"/>
          <w:sz w:val="22"/>
          <w:szCs w:val="22"/>
        </w:rPr>
        <w:t xml:space="preserve">Срок службы (срок пользования) </w:t>
      </w:r>
      <w:r w:rsidRPr="001016B8">
        <w:rPr>
          <w:rFonts w:ascii="Times New Roman" w:hAnsi="Times New Roman"/>
          <w:iCs/>
          <w:sz w:val="22"/>
          <w:szCs w:val="22"/>
        </w:rPr>
        <w:t xml:space="preserve">Товаром устанавливается в соответствии с </w:t>
      </w:r>
      <w:r w:rsidRPr="001016B8">
        <w:rPr>
          <w:rFonts w:ascii="Times New Roman" w:hAnsi="Times New Roman"/>
          <w:sz w:val="22"/>
          <w:szCs w:val="22"/>
        </w:rPr>
        <w:t xml:space="preserve">Приказом Минтруда России от 05.03.2021 N 107н </w:t>
      </w:r>
      <w:r w:rsidRPr="001016B8">
        <w:rPr>
          <w:rFonts w:ascii="Times New Roman" w:hAnsi="Times New Roman"/>
          <w:iCs/>
          <w:sz w:val="22"/>
          <w:szCs w:val="22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r w:rsidRPr="001016B8">
        <w:rPr>
          <w:rFonts w:ascii="Times New Roman" w:hAnsi="Times New Roman"/>
          <w:sz w:val="22"/>
          <w:szCs w:val="22"/>
        </w:rPr>
        <w:t xml:space="preserve"> </w:t>
      </w:r>
    </w:p>
    <w:p w:rsidR="00EC6ECA" w:rsidRPr="001016B8" w:rsidRDefault="00EC6ECA" w:rsidP="00D575BB">
      <w:pPr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1016B8">
        <w:rPr>
          <w:rFonts w:ascii="Times New Roman" w:hAnsi="Times New Roman"/>
          <w:color w:val="0E141A"/>
          <w:sz w:val="22"/>
          <w:szCs w:val="22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  <w:bookmarkStart w:id="0" w:name="_GoBack"/>
      <w:bookmarkEnd w:id="0"/>
    </w:p>
    <w:p w:rsidR="00826D11" w:rsidRPr="001016B8" w:rsidRDefault="00826D11" w:rsidP="00D575BB">
      <w:pPr>
        <w:widowControl w:val="0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sectPr w:rsidR="00826D11" w:rsidRPr="001016B8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3AD6"/>
    <w:rsid w:val="000E3FD7"/>
    <w:rsid w:val="000E4B42"/>
    <w:rsid w:val="000F2539"/>
    <w:rsid w:val="001016B8"/>
    <w:rsid w:val="00126336"/>
    <w:rsid w:val="00130336"/>
    <w:rsid w:val="00187FDF"/>
    <w:rsid w:val="001A32C6"/>
    <w:rsid w:val="001A79B7"/>
    <w:rsid w:val="0021016F"/>
    <w:rsid w:val="00210B80"/>
    <w:rsid w:val="002275CF"/>
    <w:rsid w:val="00274197"/>
    <w:rsid w:val="00276782"/>
    <w:rsid w:val="00283697"/>
    <w:rsid w:val="00285454"/>
    <w:rsid w:val="0029202D"/>
    <w:rsid w:val="002A1A4D"/>
    <w:rsid w:val="002A1BA2"/>
    <w:rsid w:val="002E0D1F"/>
    <w:rsid w:val="002F0786"/>
    <w:rsid w:val="002F0C0F"/>
    <w:rsid w:val="002F17BE"/>
    <w:rsid w:val="002F1FEC"/>
    <w:rsid w:val="002F22BB"/>
    <w:rsid w:val="003138D3"/>
    <w:rsid w:val="003E63B3"/>
    <w:rsid w:val="003F6B80"/>
    <w:rsid w:val="00410EAC"/>
    <w:rsid w:val="0042782C"/>
    <w:rsid w:val="00427F25"/>
    <w:rsid w:val="00455544"/>
    <w:rsid w:val="00455F4E"/>
    <w:rsid w:val="00465A89"/>
    <w:rsid w:val="00467593"/>
    <w:rsid w:val="0047584A"/>
    <w:rsid w:val="004958E1"/>
    <w:rsid w:val="004C4FD2"/>
    <w:rsid w:val="00515E60"/>
    <w:rsid w:val="005328E9"/>
    <w:rsid w:val="005557F4"/>
    <w:rsid w:val="005623D6"/>
    <w:rsid w:val="00564525"/>
    <w:rsid w:val="00572672"/>
    <w:rsid w:val="00591767"/>
    <w:rsid w:val="005E46A0"/>
    <w:rsid w:val="00632969"/>
    <w:rsid w:val="0063714E"/>
    <w:rsid w:val="00646A33"/>
    <w:rsid w:val="006528C8"/>
    <w:rsid w:val="00662FB5"/>
    <w:rsid w:val="00670FAA"/>
    <w:rsid w:val="006A7EE6"/>
    <w:rsid w:val="006C2231"/>
    <w:rsid w:val="006D6DED"/>
    <w:rsid w:val="00734101"/>
    <w:rsid w:val="00744A4E"/>
    <w:rsid w:val="00760E44"/>
    <w:rsid w:val="0078277F"/>
    <w:rsid w:val="00787679"/>
    <w:rsid w:val="007A5C7F"/>
    <w:rsid w:val="007B5AE9"/>
    <w:rsid w:val="007C6DB5"/>
    <w:rsid w:val="007F213E"/>
    <w:rsid w:val="008247E5"/>
    <w:rsid w:val="00826D11"/>
    <w:rsid w:val="00833866"/>
    <w:rsid w:val="00835849"/>
    <w:rsid w:val="008401D3"/>
    <w:rsid w:val="00852ED6"/>
    <w:rsid w:val="0089207B"/>
    <w:rsid w:val="00897697"/>
    <w:rsid w:val="008C28FD"/>
    <w:rsid w:val="008E4DED"/>
    <w:rsid w:val="00904570"/>
    <w:rsid w:val="009269CE"/>
    <w:rsid w:val="0095353F"/>
    <w:rsid w:val="0097373D"/>
    <w:rsid w:val="00994509"/>
    <w:rsid w:val="009C28D2"/>
    <w:rsid w:val="00A31631"/>
    <w:rsid w:val="00A32E52"/>
    <w:rsid w:val="00A3322F"/>
    <w:rsid w:val="00A72D7B"/>
    <w:rsid w:val="00A73D0C"/>
    <w:rsid w:val="00AB4016"/>
    <w:rsid w:val="00AB6F38"/>
    <w:rsid w:val="00B039F3"/>
    <w:rsid w:val="00B139FE"/>
    <w:rsid w:val="00B80C64"/>
    <w:rsid w:val="00B8640E"/>
    <w:rsid w:val="00B877A8"/>
    <w:rsid w:val="00BA5890"/>
    <w:rsid w:val="00BE0848"/>
    <w:rsid w:val="00BF6580"/>
    <w:rsid w:val="00C17FA0"/>
    <w:rsid w:val="00C317CC"/>
    <w:rsid w:val="00C6589D"/>
    <w:rsid w:val="00C71627"/>
    <w:rsid w:val="00CA094E"/>
    <w:rsid w:val="00CA6BA0"/>
    <w:rsid w:val="00CB37B2"/>
    <w:rsid w:val="00CC6DBE"/>
    <w:rsid w:val="00CD2F9F"/>
    <w:rsid w:val="00CE4EB9"/>
    <w:rsid w:val="00D017FD"/>
    <w:rsid w:val="00D25D3C"/>
    <w:rsid w:val="00D35C7C"/>
    <w:rsid w:val="00D575BB"/>
    <w:rsid w:val="00D74691"/>
    <w:rsid w:val="00DB4E5C"/>
    <w:rsid w:val="00DF1F5A"/>
    <w:rsid w:val="00E01045"/>
    <w:rsid w:val="00E33B57"/>
    <w:rsid w:val="00E70F8F"/>
    <w:rsid w:val="00E762E9"/>
    <w:rsid w:val="00E80107"/>
    <w:rsid w:val="00E8108F"/>
    <w:rsid w:val="00EB7039"/>
    <w:rsid w:val="00EC6ECA"/>
    <w:rsid w:val="00EE1B3A"/>
    <w:rsid w:val="00EE2280"/>
    <w:rsid w:val="00F16B1A"/>
    <w:rsid w:val="00F234A4"/>
    <w:rsid w:val="00F96A75"/>
    <w:rsid w:val="00FD2DD4"/>
    <w:rsid w:val="00FD662E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BF6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BF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VersionId=626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ktru/ktruCard/commonInfo.html?itemVersionId=62670" TargetMode="External"/><Relationship Id="rId5" Type="http://schemas.openxmlformats.org/officeDocument/2006/relationships/hyperlink" Target="https://zakupki.gov.ru/epz/ktru/ktruCard/commonInfo.html?itemVersionId=626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Покровский Кирилл Леонидович</cp:lastModifiedBy>
  <cp:revision>125</cp:revision>
  <cp:lastPrinted>2019-11-21T11:25:00Z</cp:lastPrinted>
  <dcterms:created xsi:type="dcterms:W3CDTF">2016-04-12T13:14:00Z</dcterms:created>
  <dcterms:modified xsi:type="dcterms:W3CDTF">2022-12-20T11:46:00Z</dcterms:modified>
</cp:coreProperties>
</file>