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939E4" w14:textId="77777777" w:rsidR="00831F79" w:rsidRPr="005E6187" w:rsidRDefault="00831F79" w:rsidP="00BE2FE7">
      <w:pPr>
        <w:keepLines/>
        <w:widowControl w:val="0"/>
        <w:suppressAutoHyphens/>
        <w:jc w:val="center"/>
        <w:rPr>
          <w:b/>
          <w:szCs w:val="24"/>
        </w:rPr>
      </w:pPr>
      <w:r w:rsidRPr="005E6187">
        <w:rPr>
          <w:b/>
          <w:szCs w:val="24"/>
        </w:rPr>
        <w:t>Техническое задание (описание объекта закупки и условия исполнения государственного контракта)</w:t>
      </w:r>
    </w:p>
    <w:p w14:paraId="1B1ECB81" w14:textId="77777777" w:rsidR="00831F79" w:rsidRPr="005E6187" w:rsidRDefault="00831F79" w:rsidP="00BE2FE7">
      <w:pPr>
        <w:keepLines/>
        <w:widowControl w:val="0"/>
        <w:suppressAutoHyphens/>
        <w:jc w:val="center"/>
        <w:rPr>
          <w:b/>
          <w:szCs w:val="24"/>
        </w:rPr>
      </w:pPr>
    </w:p>
    <w:p w14:paraId="0771C818" w14:textId="3BDC9704" w:rsidR="00831F79" w:rsidRPr="005E6187" w:rsidRDefault="00723C0E" w:rsidP="00BE2FE7">
      <w:pPr>
        <w:keepLines/>
        <w:widowControl w:val="0"/>
        <w:suppressAutoHyphens/>
        <w:jc w:val="center"/>
        <w:rPr>
          <w:b/>
          <w:color w:val="auto"/>
          <w:szCs w:val="24"/>
          <w:lang w:eastAsia="ar-SA"/>
        </w:rPr>
      </w:pPr>
      <w:r w:rsidRPr="005E6187">
        <w:rPr>
          <w:b/>
          <w:color w:val="auto"/>
          <w:szCs w:val="24"/>
          <w:lang w:eastAsia="ar-SA"/>
        </w:rPr>
        <w:t>Поставка подгузников для инвалидов Краснодарского края</w:t>
      </w:r>
    </w:p>
    <w:tbl>
      <w:tblPr>
        <w:tblStyle w:val="47"/>
        <w:tblW w:w="5000" w:type="pct"/>
        <w:tblInd w:w="0" w:type="dxa"/>
        <w:tblLook w:val="04A0" w:firstRow="1" w:lastRow="0" w:firstColumn="1" w:lastColumn="0" w:noHBand="0" w:noVBand="1"/>
      </w:tblPr>
      <w:tblGrid>
        <w:gridCol w:w="546"/>
        <w:gridCol w:w="2114"/>
        <w:gridCol w:w="3543"/>
        <w:gridCol w:w="3685"/>
        <w:gridCol w:w="1218"/>
        <w:gridCol w:w="864"/>
        <w:gridCol w:w="1195"/>
        <w:gridCol w:w="1621"/>
      </w:tblGrid>
      <w:tr w:rsidR="00831F79" w:rsidRPr="005E6187" w14:paraId="369B4EE9" w14:textId="77777777" w:rsidTr="00810222">
        <w:tc>
          <w:tcPr>
            <w:tcW w:w="185" w:type="pct"/>
            <w:tcBorders>
              <w:top w:val="single" w:sz="4" w:space="0" w:color="auto"/>
              <w:left w:val="single" w:sz="4" w:space="0" w:color="auto"/>
              <w:bottom w:val="single" w:sz="4" w:space="0" w:color="auto"/>
              <w:right w:val="single" w:sz="4" w:space="0" w:color="auto"/>
            </w:tcBorders>
            <w:hideMark/>
          </w:tcPr>
          <w:p w14:paraId="3315E4FC"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 п/п</w:t>
            </w:r>
          </w:p>
        </w:tc>
        <w:tc>
          <w:tcPr>
            <w:tcW w:w="715" w:type="pct"/>
            <w:tcBorders>
              <w:top w:val="single" w:sz="4" w:space="0" w:color="auto"/>
              <w:left w:val="single" w:sz="4" w:space="0" w:color="auto"/>
              <w:bottom w:val="single" w:sz="4" w:space="0" w:color="auto"/>
              <w:right w:val="single" w:sz="4" w:space="0" w:color="auto"/>
            </w:tcBorders>
            <w:hideMark/>
          </w:tcPr>
          <w:p w14:paraId="69FE6E16"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Наименование товара, работ, услуг</w:t>
            </w:r>
          </w:p>
        </w:tc>
        <w:tc>
          <w:tcPr>
            <w:tcW w:w="1198" w:type="pct"/>
            <w:tcBorders>
              <w:top w:val="single" w:sz="4" w:space="0" w:color="auto"/>
              <w:left w:val="single" w:sz="4" w:space="0" w:color="auto"/>
              <w:bottom w:val="single" w:sz="4" w:space="0" w:color="auto"/>
              <w:right w:val="single" w:sz="4" w:space="0" w:color="auto"/>
            </w:tcBorders>
            <w:hideMark/>
          </w:tcPr>
          <w:p w14:paraId="60D23A53"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5E6187">
              <w:rPr>
                <w:color w:val="auto"/>
                <w:sz w:val="24"/>
                <w:szCs w:val="24"/>
                <w:lang w:eastAsia="ar-SA"/>
              </w:rPr>
              <w:t>абилитации</w:t>
            </w:r>
            <w:proofErr w:type="spellEnd"/>
            <w:r w:rsidRPr="005E6187">
              <w:rPr>
                <w:color w:val="auto"/>
                <w:sz w:val="24"/>
                <w:szCs w:val="24"/>
                <w:lang w:eastAsia="ar-SA"/>
              </w:rPr>
              <w:t xml:space="preserve"> инвалида</w:t>
            </w:r>
          </w:p>
        </w:tc>
        <w:tc>
          <w:tcPr>
            <w:tcW w:w="1246" w:type="pct"/>
            <w:tcBorders>
              <w:top w:val="single" w:sz="4" w:space="0" w:color="auto"/>
              <w:left w:val="single" w:sz="4" w:space="0" w:color="auto"/>
              <w:bottom w:val="single" w:sz="4" w:space="0" w:color="auto"/>
              <w:right w:val="single" w:sz="4" w:space="0" w:color="auto"/>
            </w:tcBorders>
            <w:hideMark/>
          </w:tcPr>
          <w:p w14:paraId="7C147769"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Описание объекта закупки</w:t>
            </w:r>
          </w:p>
        </w:tc>
        <w:tc>
          <w:tcPr>
            <w:tcW w:w="412" w:type="pct"/>
            <w:tcBorders>
              <w:top w:val="single" w:sz="4" w:space="0" w:color="auto"/>
              <w:left w:val="single" w:sz="4" w:space="0" w:color="auto"/>
              <w:bottom w:val="single" w:sz="4" w:space="0" w:color="auto"/>
              <w:right w:val="single" w:sz="4" w:space="0" w:color="auto"/>
            </w:tcBorders>
            <w:hideMark/>
          </w:tcPr>
          <w:p w14:paraId="3836019D"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Кол-во</w:t>
            </w:r>
          </w:p>
        </w:tc>
        <w:tc>
          <w:tcPr>
            <w:tcW w:w="292" w:type="pct"/>
            <w:tcBorders>
              <w:top w:val="single" w:sz="4" w:space="0" w:color="auto"/>
              <w:left w:val="single" w:sz="4" w:space="0" w:color="auto"/>
              <w:bottom w:val="single" w:sz="4" w:space="0" w:color="auto"/>
              <w:right w:val="single" w:sz="4" w:space="0" w:color="auto"/>
            </w:tcBorders>
            <w:hideMark/>
          </w:tcPr>
          <w:p w14:paraId="0AE8B14A"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Ед. изм.</w:t>
            </w:r>
          </w:p>
        </w:tc>
        <w:tc>
          <w:tcPr>
            <w:tcW w:w="404" w:type="pct"/>
            <w:tcBorders>
              <w:top w:val="single" w:sz="4" w:space="0" w:color="auto"/>
              <w:left w:val="single" w:sz="4" w:space="0" w:color="auto"/>
              <w:bottom w:val="single" w:sz="4" w:space="0" w:color="auto"/>
              <w:right w:val="single" w:sz="4" w:space="0" w:color="auto"/>
            </w:tcBorders>
            <w:hideMark/>
          </w:tcPr>
          <w:p w14:paraId="1BE621C7"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Цена за ед. изм.</w:t>
            </w:r>
            <w:r w:rsidRPr="005E6187">
              <w:rPr>
                <w:color w:val="auto"/>
                <w:sz w:val="24"/>
                <w:szCs w:val="24"/>
                <w:vertAlign w:val="superscript"/>
                <w:lang w:eastAsia="ar-SA"/>
              </w:rPr>
              <w:footnoteReference w:id="1"/>
            </w:r>
            <w:r w:rsidRPr="005E6187">
              <w:rPr>
                <w:color w:val="auto"/>
                <w:sz w:val="24"/>
                <w:szCs w:val="24"/>
                <w:lang w:eastAsia="ar-SA"/>
              </w:rPr>
              <w:t>, руб.</w:t>
            </w:r>
          </w:p>
        </w:tc>
        <w:tc>
          <w:tcPr>
            <w:tcW w:w="548" w:type="pct"/>
            <w:tcBorders>
              <w:top w:val="single" w:sz="4" w:space="0" w:color="auto"/>
              <w:left w:val="single" w:sz="4" w:space="0" w:color="auto"/>
              <w:bottom w:val="single" w:sz="4" w:space="0" w:color="auto"/>
              <w:right w:val="single" w:sz="4" w:space="0" w:color="auto"/>
            </w:tcBorders>
            <w:hideMark/>
          </w:tcPr>
          <w:p w14:paraId="66AA841E"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Цена по позиции</w:t>
            </w:r>
            <w:r w:rsidRPr="005E6187">
              <w:rPr>
                <w:color w:val="auto"/>
                <w:sz w:val="24"/>
                <w:szCs w:val="24"/>
                <w:vertAlign w:val="superscript"/>
                <w:lang w:eastAsia="ar-SA"/>
              </w:rPr>
              <w:footnoteReference w:id="2"/>
            </w:r>
            <w:r w:rsidRPr="005E6187">
              <w:rPr>
                <w:color w:val="auto"/>
                <w:sz w:val="24"/>
                <w:szCs w:val="24"/>
                <w:lang w:eastAsia="ar-SA"/>
              </w:rPr>
              <w:t>, руб.</w:t>
            </w:r>
          </w:p>
        </w:tc>
      </w:tr>
      <w:tr w:rsidR="007341CA" w:rsidRPr="005E6187" w14:paraId="451CC7D2" w14:textId="77777777" w:rsidTr="00810222">
        <w:tc>
          <w:tcPr>
            <w:tcW w:w="185" w:type="pct"/>
            <w:tcBorders>
              <w:top w:val="single" w:sz="4" w:space="0" w:color="auto"/>
              <w:left w:val="single" w:sz="4" w:space="0" w:color="auto"/>
              <w:bottom w:val="single" w:sz="4" w:space="0" w:color="auto"/>
              <w:right w:val="single" w:sz="4" w:space="0" w:color="auto"/>
            </w:tcBorders>
            <w:hideMark/>
          </w:tcPr>
          <w:p w14:paraId="7F2F1C94" w14:textId="77777777" w:rsidR="007341CA" w:rsidRPr="005E6187" w:rsidRDefault="007341CA" w:rsidP="007341CA">
            <w:pPr>
              <w:keepLines/>
              <w:widowControl w:val="0"/>
              <w:suppressAutoHyphens/>
              <w:rPr>
                <w:color w:val="auto"/>
                <w:sz w:val="24"/>
                <w:szCs w:val="24"/>
                <w:lang w:eastAsia="ar-SA"/>
              </w:rPr>
            </w:pPr>
            <w:bookmarkStart w:id="0" w:name="_GoBack" w:colFirst="5" w:colLast="6"/>
            <w:r w:rsidRPr="005E6187">
              <w:rPr>
                <w:color w:val="auto"/>
                <w:sz w:val="24"/>
                <w:szCs w:val="24"/>
                <w:lang w:eastAsia="ar-SA"/>
              </w:rPr>
              <w:t>1.</w:t>
            </w:r>
          </w:p>
        </w:tc>
        <w:tc>
          <w:tcPr>
            <w:tcW w:w="715" w:type="pct"/>
          </w:tcPr>
          <w:p w14:paraId="4D685519" w14:textId="6EB63878" w:rsidR="007341CA" w:rsidRPr="005E6187" w:rsidRDefault="007341CA" w:rsidP="007341CA">
            <w:pPr>
              <w:keepLines/>
              <w:widowControl w:val="0"/>
              <w:suppressAutoHyphens/>
              <w:jc w:val="both"/>
              <w:rPr>
                <w:color w:val="auto"/>
                <w:sz w:val="24"/>
                <w:szCs w:val="24"/>
                <w:lang w:eastAsia="ar-SA"/>
              </w:rPr>
            </w:pPr>
            <w:r w:rsidRPr="005E6187">
              <w:rPr>
                <w:sz w:val="24"/>
                <w:szCs w:val="24"/>
              </w:rPr>
              <w:t>Подгузники для взрослых</w:t>
            </w:r>
          </w:p>
        </w:tc>
        <w:tc>
          <w:tcPr>
            <w:tcW w:w="1198" w:type="pct"/>
          </w:tcPr>
          <w:p w14:paraId="36957953" w14:textId="64B85160" w:rsidR="007341CA" w:rsidRPr="005E6187" w:rsidRDefault="007341CA" w:rsidP="007341CA">
            <w:pPr>
              <w:keepLines/>
              <w:widowControl w:val="0"/>
              <w:suppressAutoHyphens/>
              <w:jc w:val="both"/>
              <w:rPr>
                <w:color w:val="auto"/>
                <w:sz w:val="24"/>
                <w:szCs w:val="24"/>
                <w:lang w:eastAsia="ar-SA"/>
              </w:rPr>
            </w:pPr>
            <w:r w:rsidRPr="005E6187">
              <w:rPr>
                <w:color w:val="auto"/>
                <w:sz w:val="24"/>
                <w:szCs w:val="24"/>
                <w:lang w:eastAsia="ar-SA"/>
              </w:rPr>
              <w:t>Подгузники для взрослых, размер "XS" (объем талии/бедер до 60 см), с полным влагопоглощением не менее 1200 г</w:t>
            </w:r>
          </w:p>
        </w:tc>
        <w:tc>
          <w:tcPr>
            <w:tcW w:w="1246" w:type="pct"/>
          </w:tcPr>
          <w:p w14:paraId="48341A09" w14:textId="3974A298" w:rsidR="007341CA" w:rsidRPr="005E6187" w:rsidRDefault="007341CA" w:rsidP="007341CA">
            <w:pPr>
              <w:jc w:val="both"/>
              <w:rPr>
                <w:sz w:val="24"/>
                <w:szCs w:val="24"/>
              </w:rPr>
            </w:pPr>
            <w:r w:rsidRPr="005E6187">
              <w:rPr>
                <w:sz w:val="24"/>
                <w:szCs w:val="24"/>
              </w:rPr>
              <w:t xml:space="preserve">Подгузники для взрослых, размер "XS" (объем талии/бедер до 60 см), с полным влагопоглощением не менее 1200 г. </w:t>
            </w:r>
          </w:p>
          <w:p w14:paraId="2D92AE4E" w14:textId="0AAE6AED" w:rsidR="007341CA" w:rsidRPr="005E6187" w:rsidRDefault="007341CA" w:rsidP="007341CA">
            <w:pPr>
              <w:jc w:val="both"/>
              <w:rPr>
                <w:sz w:val="24"/>
                <w:szCs w:val="24"/>
              </w:rPr>
            </w:pPr>
            <w:r w:rsidRPr="005E6187">
              <w:rPr>
                <w:sz w:val="24"/>
                <w:szCs w:val="24"/>
              </w:rPr>
              <w:t xml:space="preserve">Полное влагопоглощение не менее 1200 г., </w:t>
            </w:r>
            <w:r>
              <w:rPr>
                <w:sz w:val="24"/>
                <w:szCs w:val="24"/>
              </w:rPr>
              <w:t>о</w:t>
            </w:r>
            <w:r w:rsidRPr="005E6187">
              <w:rPr>
                <w:sz w:val="24"/>
                <w:szCs w:val="24"/>
              </w:rPr>
              <w:t xml:space="preserve">братная сорбция не более 4,4 г., скорость впитывания не менее 2,3 см3/с. </w:t>
            </w:r>
          </w:p>
        </w:tc>
        <w:tc>
          <w:tcPr>
            <w:tcW w:w="412" w:type="pct"/>
          </w:tcPr>
          <w:p w14:paraId="6F35AA5E" w14:textId="6E1A6B06" w:rsidR="007341CA" w:rsidRPr="005E6187" w:rsidRDefault="007341CA" w:rsidP="007341CA">
            <w:pPr>
              <w:keepLines/>
              <w:widowControl w:val="0"/>
              <w:suppressAutoHyphens/>
              <w:jc w:val="center"/>
              <w:rPr>
                <w:sz w:val="24"/>
                <w:szCs w:val="24"/>
              </w:rPr>
            </w:pPr>
            <w:r w:rsidRPr="005E6187">
              <w:rPr>
                <w:sz w:val="24"/>
                <w:szCs w:val="24"/>
              </w:rPr>
              <w:t>60 000</w:t>
            </w:r>
          </w:p>
        </w:tc>
        <w:tc>
          <w:tcPr>
            <w:tcW w:w="292" w:type="pct"/>
          </w:tcPr>
          <w:p w14:paraId="78D5D5A6" w14:textId="2B279B74" w:rsidR="007341CA" w:rsidRPr="007341CA" w:rsidRDefault="007341CA" w:rsidP="007341CA">
            <w:pPr>
              <w:keepLines/>
              <w:widowControl w:val="0"/>
              <w:suppressAutoHyphens/>
              <w:jc w:val="center"/>
              <w:rPr>
                <w:sz w:val="24"/>
                <w:szCs w:val="24"/>
              </w:rPr>
            </w:pPr>
            <w:r w:rsidRPr="007341CA">
              <w:rPr>
                <w:sz w:val="24"/>
                <w:szCs w:val="24"/>
              </w:rPr>
              <w:t>Шт.</w:t>
            </w:r>
          </w:p>
        </w:tc>
        <w:tc>
          <w:tcPr>
            <w:tcW w:w="404" w:type="pct"/>
          </w:tcPr>
          <w:p w14:paraId="3E724B19" w14:textId="29838AE8" w:rsidR="007341CA" w:rsidRPr="007341CA" w:rsidRDefault="007341CA" w:rsidP="007341CA">
            <w:pPr>
              <w:keepLines/>
              <w:widowControl w:val="0"/>
              <w:suppressAutoHyphens/>
              <w:jc w:val="center"/>
              <w:rPr>
                <w:sz w:val="24"/>
                <w:szCs w:val="24"/>
              </w:rPr>
            </w:pPr>
            <w:r w:rsidRPr="007341CA">
              <w:rPr>
                <w:sz w:val="24"/>
                <w:szCs w:val="24"/>
              </w:rPr>
              <w:t>30,67</w:t>
            </w:r>
          </w:p>
        </w:tc>
        <w:tc>
          <w:tcPr>
            <w:tcW w:w="548" w:type="pct"/>
          </w:tcPr>
          <w:p w14:paraId="41B7D96B" w14:textId="28EEAC76" w:rsidR="007341CA" w:rsidRPr="005E6187" w:rsidRDefault="007341CA" w:rsidP="007341CA">
            <w:pPr>
              <w:keepLines/>
              <w:widowControl w:val="0"/>
              <w:suppressAutoHyphens/>
              <w:jc w:val="center"/>
              <w:rPr>
                <w:sz w:val="24"/>
                <w:szCs w:val="24"/>
              </w:rPr>
            </w:pPr>
            <w:r w:rsidRPr="005E6187">
              <w:rPr>
                <w:sz w:val="24"/>
                <w:szCs w:val="24"/>
              </w:rPr>
              <w:t>1 840 200,00</w:t>
            </w:r>
          </w:p>
        </w:tc>
      </w:tr>
      <w:bookmarkEnd w:id="0"/>
      <w:tr w:rsidR="00810222" w:rsidRPr="005E6187" w14:paraId="18E03A3B" w14:textId="77777777" w:rsidTr="00810222">
        <w:tc>
          <w:tcPr>
            <w:tcW w:w="3344" w:type="pct"/>
            <w:gridSpan w:val="4"/>
            <w:tcBorders>
              <w:top w:val="single" w:sz="4" w:space="0" w:color="auto"/>
              <w:left w:val="single" w:sz="4" w:space="0" w:color="auto"/>
              <w:bottom w:val="single" w:sz="4" w:space="0" w:color="auto"/>
            </w:tcBorders>
          </w:tcPr>
          <w:p w14:paraId="7C2A96FB" w14:textId="77777777" w:rsidR="00810222" w:rsidRPr="005E6187" w:rsidRDefault="00810222" w:rsidP="00810222">
            <w:pPr>
              <w:keepLines/>
              <w:widowControl w:val="0"/>
              <w:suppressAutoHyphens/>
              <w:jc w:val="both"/>
              <w:rPr>
                <w:sz w:val="24"/>
                <w:szCs w:val="24"/>
              </w:rPr>
            </w:pPr>
            <w:r w:rsidRPr="005E6187">
              <w:rPr>
                <w:b/>
                <w:color w:val="auto"/>
                <w:sz w:val="24"/>
                <w:szCs w:val="24"/>
                <w:lang w:eastAsia="ar-SA"/>
              </w:rPr>
              <w:t>ИТОГО:</w:t>
            </w:r>
          </w:p>
        </w:tc>
        <w:tc>
          <w:tcPr>
            <w:tcW w:w="412" w:type="pct"/>
          </w:tcPr>
          <w:p w14:paraId="08EF1745" w14:textId="59086504" w:rsidR="00810222" w:rsidRPr="00810222" w:rsidRDefault="00810222" w:rsidP="00810222">
            <w:pPr>
              <w:keepLines/>
              <w:widowControl w:val="0"/>
              <w:suppressAutoHyphens/>
              <w:jc w:val="center"/>
              <w:rPr>
                <w:b/>
                <w:sz w:val="24"/>
                <w:szCs w:val="24"/>
              </w:rPr>
            </w:pPr>
            <w:r w:rsidRPr="00810222">
              <w:rPr>
                <w:b/>
                <w:sz w:val="24"/>
                <w:szCs w:val="24"/>
              </w:rPr>
              <w:t>60 000</w:t>
            </w:r>
          </w:p>
        </w:tc>
        <w:tc>
          <w:tcPr>
            <w:tcW w:w="292" w:type="pct"/>
          </w:tcPr>
          <w:p w14:paraId="575C5DC0" w14:textId="4F6D2407" w:rsidR="00810222" w:rsidRPr="00810222" w:rsidRDefault="00810222" w:rsidP="00810222">
            <w:pPr>
              <w:keepLines/>
              <w:widowControl w:val="0"/>
              <w:suppressAutoHyphens/>
              <w:jc w:val="center"/>
              <w:rPr>
                <w:b/>
                <w:sz w:val="24"/>
                <w:szCs w:val="24"/>
              </w:rPr>
            </w:pPr>
          </w:p>
        </w:tc>
        <w:tc>
          <w:tcPr>
            <w:tcW w:w="404" w:type="pct"/>
          </w:tcPr>
          <w:p w14:paraId="0D85649F" w14:textId="6D82D688" w:rsidR="00810222" w:rsidRPr="00810222" w:rsidRDefault="00810222" w:rsidP="00810222">
            <w:pPr>
              <w:keepLines/>
              <w:widowControl w:val="0"/>
              <w:suppressAutoHyphens/>
              <w:jc w:val="center"/>
              <w:rPr>
                <w:b/>
                <w:sz w:val="24"/>
                <w:szCs w:val="24"/>
              </w:rPr>
            </w:pPr>
          </w:p>
        </w:tc>
        <w:tc>
          <w:tcPr>
            <w:tcW w:w="548" w:type="pct"/>
          </w:tcPr>
          <w:p w14:paraId="5171E161" w14:textId="2F8C24E5" w:rsidR="00810222" w:rsidRPr="00810222" w:rsidRDefault="00810222" w:rsidP="00810222">
            <w:pPr>
              <w:keepLines/>
              <w:widowControl w:val="0"/>
              <w:suppressAutoHyphens/>
              <w:jc w:val="center"/>
              <w:rPr>
                <w:b/>
                <w:sz w:val="24"/>
                <w:szCs w:val="24"/>
              </w:rPr>
            </w:pPr>
            <w:r w:rsidRPr="00810222">
              <w:rPr>
                <w:b/>
                <w:sz w:val="24"/>
                <w:szCs w:val="24"/>
              </w:rPr>
              <w:t>1 840 200,00</w:t>
            </w:r>
          </w:p>
        </w:tc>
      </w:tr>
    </w:tbl>
    <w:p w14:paraId="09392732" w14:textId="77777777" w:rsidR="00B31925" w:rsidRPr="005E6187" w:rsidRDefault="00B31925" w:rsidP="00A14615">
      <w:pPr>
        <w:keepLines/>
        <w:widowControl w:val="0"/>
        <w:tabs>
          <w:tab w:val="left" w:pos="5865"/>
        </w:tabs>
        <w:suppressAutoHyphens/>
        <w:ind w:firstLine="567"/>
        <w:jc w:val="center"/>
        <w:rPr>
          <w:szCs w:val="24"/>
        </w:rPr>
      </w:pPr>
    </w:p>
    <w:p w14:paraId="454F0FB6" w14:textId="77777777" w:rsidR="00A14615" w:rsidRPr="005E6187" w:rsidRDefault="00A14615" w:rsidP="00441CCF">
      <w:pPr>
        <w:ind w:firstLine="567"/>
        <w:jc w:val="both"/>
        <w:rPr>
          <w:szCs w:val="24"/>
        </w:rPr>
      </w:pPr>
      <w:r w:rsidRPr="005E6187">
        <w:rPr>
          <w:szCs w:val="24"/>
        </w:rPr>
        <w:t xml:space="preserve">Подгузники должны обеспечивать соблюдение санитарно-гигиенических условий для инвалидов с нарушениями функций выделения.  Подгузники должны соответствовать ГОСТ Р ИСО 11948-1-2015, ГОСТ Р 55082-2012. </w:t>
      </w:r>
    </w:p>
    <w:p w14:paraId="2988D840" w14:textId="01DCCB46" w:rsidR="00A14615" w:rsidRPr="005E6187" w:rsidRDefault="00A14615" w:rsidP="00441CCF">
      <w:pPr>
        <w:ind w:firstLine="567"/>
        <w:jc w:val="both"/>
        <w:rPr>
          <w:szCs w:val="24"/>
        </w:rPr>
      </w:pPr>
      <w:r w:rsidRPr="005E6187">
        <w:rPr>
          <w:szCs w:val="24"/>
        </w:rPr>
        <w:t xml:space="preserve">Форма подгузника должна соответствовать развёртке нижней части торса тела человека с дополнительным увеличением площади на запах боковых частей. Впитывающий слой подгузника должен иметь форму, дающую возможность использования подгузника мужчинами и женщинами. Внутренняя поверхность подгузников должна быть из нетканого материала, пропускающего влагу в одном направлении и обеспечивающего сухость кожи. Впитывающий слой из распушенной целлюлозы с </w:t>
      </w:r>
      <w:proofErr w:type="spellStart"/>
      <w:r w:rsidRPr="005E6187">
        <w:rPr>
          <w:szCs w:val="24"/>
        </w:rPr>
        <w:t>суперабсорбирующим</w:t>
      </w:r>
      <w:proofErr w:type="spellEnd"/>
      <w:r w:rsidRPr="005E6187">
        <w:rPr>
          <w:szCs w:val="24"/>
        </w:rPr>
        <w:t xml:space="preserve"> полимером, превращающим жидкость в гель. Подгузники должны быть оснащены водонепроницаемыми защитными барьерами по бокам, поясом из эластичного материала или эластичными резинками, или эластичными стяжками на поясе. Наружный слой должен быть из специального материала, препятствующего проникновению влаги наружу. Для многократного использования без повреждения клеящей зоны и более плотного прилегания к телу подгузники должны иметь двойные застёжки (липучки для многократного использования). Показателем необходимости замены подгузника должен служить индикатор насыщения, который меняет цвет. В подгузниках не допускаются механические повреждения (разрыв края, разрезы и т.п.), пятна различного происхождения, посторонние включения, видимые невооружённым глазом. Печатное изображение на подгузниках должно быть четким без искажений и пробелов. Не допускаются следы </w:t>
      </w:r>
      <w:proofErr w:type="spellStart"/>
      <w:r w:rsidRPr="005E6187">
        <w:rPr>
          <w:szCs w:val="24"/>
        </w:rPr>
        <w:t>выщипывания</w:t>
      </w:r>
      <w:proofErr w:type="spellEnd"/>
      <w:r w:rsidRPr="005E6187">
        <w:rPr>
          <w:szCs w:val="24"/>
        </w:rPr>
        <w:t xml:space="preserve"> волокон с поверхности подгузника и </w:t>
      </w:r>
      <w:proofErr w:type="spellStart"/>
      <w:r w:rsidRPr="005E6187">
        <w:rPr>
          <w:szCs w:val="24"/>
        </w:rPr>
        <w:t>отмарывания</w:t>
      </w:r>
      <w:proofErr w:type="spellEnd"/>
      <w:r w:rsidRPr="005E6187">
        <w:rPr>
          <w:szCs w:val="24"/>
        </w:rPr>
        <w:t xml:space="preserve"> краски.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 Требования к размерам, упаковке, отгрузке подгузников. Маркировка упаковки подгузников должна включать: условное обозначение группы подгузников, товарную марку (при наличии), обозначение размера изделия или номера (при наличии); обозначение </w:t>
      </w:r>
      <w:proofErr w:type="spellStart"/>
      <w:r w:rsidRPr="005E6187">
        <w:rPr>
          <w:szCs w:val="24"/>
        </w:rPr>
        <w:t>впитываемости</w:t>
      </w:r>
      <w:proofErr w:type="spellEnd"/>
      <w:r w:rsidRPr="005E6187">
        <w:rPr>
          <w:szCs w:val="24"/>
        </w:rPr>
        <w:t xml:space="preserve"> изделия (при наличии); страну-изготовителя; наименование предприятия-изготовителя, юридический адрес, товарный знак (при наличии); отличительные характеристики подгузников в соответствии с их техническим исполнением (при наличии); номер артикула (при наличии); количество изделий в упаковке; дату (месяц, год) изготовления; срок годности; указания по утилизации: «Не бросать в канализацию»; правила использования (при необходимости); штриховой код изделия (при наличии); информацию о сертификации (при наличии). Основная информация о подгузнике (товарная марка, обозначение группы, дата изготовления или лот и др.) должна быть нанесена на нижний покровный слой подгузника, а при его отсутствии – на защитный слой подгузника. При поставке партии подгузников Поставщиком должны быть предоставлены: технические условия на выпускаемую продукцию (при наличии); - документальное подтверждение проведенных по каждой партии подгузников Приемо-сдаточных испытаний на соответствие ГОСТ Р 55082-2012 и ТУ (при наличии). Подгузники должны быть упакованы по несколько штук в пакеты из полимерной плёнки или пачки, или коробки, или другую тару, обеспечивающую их сохранность при транспортировании и хранении. Швы в пакетах из полимерной плёнки должны быть заварены. Транспортирование – любым видом крытого транспорта в соответствии с правилами перевозки грузов, действующими на данном виде транспорта. Подгузники должны соответствовать требованиям стандарта ГОСТ Р ИСО 11948-1-2015 "Подгузники для взрослых. Часть 1. Испытания изделия целиком". Подгузники должны соответствовать требованиям стандарта ГОСТ Р 55082-2012 "Изделия бумажные медицинского назначения. Подгузники для взрослых. Общие технические условия". Подгузники должны соответствовать требованиям государственных стандартов, иметь регистрационные удостоверения в соответствии с Федеральным законом от 21.11.2011 года № 323-ФЗ «Об основах охраны здоровья граждан в Российской Федерации», декларации соответствия или сертификаты соответствия, или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14:paraId="2211F585" w14:textId="77777777" w:rsidR="00A14615" w:rsidRPr="005E6187" w:rsidRDefault="00A14615" w:rsidP="00441CCF">
      <w:pPr>
        <w:ind w:firstLine="567"/>
        <w:jc w:val="both"/>
        <w:rPr>
          <w:szCs w:val="24"/>
        </w:rPr>
      </w:pPr>
    </w:p>
    <w:p w14:paraId="1D10DE76" w14:textId="3203329E" w:rsidR="00A14615" w:rsidRPr="005E6187" w:rsidRDefault="00A14615" w:rsidP="00441CCF">
      <w:pPr>
        <w:ind w:firstLine="567"/>
        <w:jc w:val="center"/>
        <w:rPr>
          <w:b/>
          <w:bCs/>
          <w:szCs w:val="24"/>
        </w:rPr>
      </w:pPr>
      <w:r w:rsidRPr="005E6187">
        <w:rPr>
          <w:b/>
          <w:bCs/>
          <w:szCs w:val="24"/>
        </w:rPr>
        <w:t>Требования к месту, условиям, объем</w:t>
      </w:r>
      <w:r w:rsidRPr="005E6187">
        <w:rPr>
          <w:b/>
          <w:bCs/>
          <w:szCs w:val="24"/>
        </w:rPr>
        <w:t>ам и срокам (периодам) поставки</w:t>
      </w:r>
    </w:p>
    <w:p w14:paraId="614C78B2" w14:textId="77777777" w:rsidR="00A14615" w:rsidRPr="005E6187" w:rsidRDefault="00A14615" w:rsidP="00441CCF">
      <w:pPr>
        <w:ind w:firstLine="567"/>
        <w:jc w:val="both"/>
        <w:rPr>
          <w:b/>
          <w:szCs w:val="24"/>
          <w:u w:val="single"/>
        </w:rPr>
      </w:pPr>
    </w:p>
    <w:p w14:paraId="4DBF41A5" w14:textId="77777777" w:rsidR="00A14615" w:rsidRPr="005E6187" w:rsidRDefault="00A14615" w:rsidP="00441CCF">
      <w:pPr>
        <w:ind w:firstLine="567"/>
        <w:jc w:val="both"/>
        <w:rPr>
          <w:b/>
          <w:szCs w:val="24"/>
          <w:u w:val="single"/>
        </w:rPr>
      </w:pPr>
      <w:r w:rsidRPr="005E6187">
        <w:rPr>
          <w:b/>
          <w:szCs w:val="24"/>
          <w:u w:val="single"/>
        </w:rPr>
        <w:t>Срок поставки товара:</w:t>
      </w:r>
    </w:p>
    <w:p w14:paraId="3D462FE2" w14:textId="77777777" w:rsidR="00A14615" w:rsidRPr="005E6187" w:rsidRDefault="00A14615" w:rsidP="00441CCF">
      <w:pPr>
        <w:ind w:firstLine="567"/>
        <w:jc w:val="both"/>
        <w:rPr>
          <w:szCs w:val="24"/>
        </w:rPr>
      </w:pPr>
      <w:r w:rsidRPr="005E6187">
        <w:rPr>
          <w:szCs w:val="24"/>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30.11.2023. </w:t>
      </w:r>
    </w:p>
    <w:p w14:paraId="48A7BBE1" w14:textId="77777777" w:rsidR="00A14615" w:rsidRPr="005E6187" w:rsidRDefault="00A14615" w:rsidP="00441CCF">
      <w:pPr>
        <w:ind w:firstLine="567"/>
        <w:jc w:val="both"/>
        <w:rPr>
          <w:szCs w:val="24"/>
        </w:rPr>
      </w:pPr>
      <w:r w:rsidRPr="005E6187">
        <w:rPr>
          <w:szCs w:val="24"/>
        </w:rPr>
        <w:t>В течение 10 (Десяти) календарных дней с даты подписания Контракта предоставить на склад Поставщика, расположенный на территории Краснодарского края 30% от общего количества Товара.</w:t>
      </w:r>
    </w:p>
    <w:p w14:paraId="65DF8B37" w14:textId="77777777" w:rsidR="00A14615" w:rsidRPr="005E6187" w:rsidRDefault="00A14615" w:rsidP="00441CCF">
      <w:pPr>
        <w:ind w:firstLine="567"/>
        <w:jc w:val="both"/>
        <w:rPr>
          <w:szCs w:val="24"/>
        </w:rPr>
      </w:pPr>
      <w:r w:rsidRPr="005E6187">
        <w:rPr>
          <w:szCs w:val="24"/>
        </w:rPr>
        <w:t>До 30.09.2023 г. на складе Поставщика, расположенном на территории Краснодарского края, должно быть 100% от общего количества Товара.</w:t>
      </w:r>
    </w:p>
    <w:p w14:paraId="4BECAD13" w14:textId="77777777" w:rsidR="00A14615" w:rsidRPr="005E6187" w:rsidRDefault="00A14615" w:rsidP="00441CCF">
      <w:pPr>
        <w:ind w:firstLine="567"/>
        <w:jc w:val="both"/>
        <w:rPr>
          <w:szCs w:val="24"/>
        </w:rPr>
      </w:pPr>
      <w:r w:rsidRPr="005E6187">
        <w:rPr>
          <w:szCs w:val="24"/>
        </w:rPr>
        <w:t>Остаточный срок годности Товара должен составлять не менее 1 (Одного) года со дня подписания Акта приема-передачи Товара получателем.</w:t>
      </w:r>
    </w:p>
    <w:p w14:paraId="51B8818D" w14:textId="77777777" w:rsidR="00A14615" w:rsidRPr="005E6187" w:rsidRDefault="00A14615" w:rsidP="00441CCF">
      <w:pPr>
        <w:keepLines/>
        <w:widowControl w:val="0"/>
        <w:ind w:firstLine="567"/>
        <w:jc w:val="both"/>
        <w:rPr>
          <w:b/>
          <w:szCs w:val="24"/>
          <w:u w:val="single"/>
        </w:rPr>
      </w:pPr>
      <w:r w:rsidRPr="005E6187">
        <w:rPr>
          <w:b/>
          <w:szCs w:val="24"/>
          <w:u w:val="single"/>
        </w:rPr>
        <w:t>Место поставки:</w:t>
      </w:r>
    </w:p>
    <w:p w14:paraId="2E4EDB49" w14:textId="77777777" w:rsidR="00A14615" w:rsidRPr="005E6187" w:rsidRDefault="00A14615" w:rsidP="00441CCF">
      <w:pPr>
        <w:keepLines/>
        <w:widowControl w:val="0"/>
        <w:ind w:firstLine="567"/>
        <w:jc w:val="both"/>
        <w:rPr>
          <w:szCs w:val="24"/>
        </w:rPr>
      </w:pPr>
      <w:r w:rsidRPr="005E6187">
        <w:rPr>
          <w:szCs w:val="24"/>
        </w:rPr>
        <w:t>Краснодарский край:</w:t>
      </w:r>
    </w:p>
    <w:p w14:paraId="223F49ED" w14:textId="77777777" w:rsidR="00A14615" w:rsidRPr="005E6187" w:rsidRDefault="00A14615" w:rsidP="00441CCF">
      <w:pPr>
        <w:keepLines/>
        <w:widowControl w:val="0"/>
        <w:ind w:firstLine="567"/>
        <w:jc w:val="both"/>
        <w:rPr>
          <w:szCs w:val="24"/>
          <w:lang w:eastAsia="en-US"/>
        </w:rPr>
      </w:pPr>
      <w:r w:rsidRPr="005E6187">
        <w:rPr>
          <w:szCs w:val="24"/>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7103CABB" w14:textId="77777777" w:rsidR="00A14615" w:rsidRPr="005E6187" w:rsidRDefault="00A14615" w:rsidP="00441CCF">
      <w:pPr>
        <w:ind w:firstLine="567"/>
        <w:jc w:val="both"/>
        <w:rPr>
          <w:szCs w:val="24"/>
        </w:rPr>
      </w:pPr>
      <w:r w:rsidRPr="005E6187">
        <w:rPr>
          <w:szCs w:val="24"/>
          <w:lang w:eastAsia="en-US"/>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r w:rsidRPr="005E6187">
        <w:rPr>
          <w:szCs w:val="24"/>
        </w:rPr>
        <w:t xml:space="preserve"> </w:t>
      </w:r>
    </w:p>
    <w:p w14:paraId="39856CA2" w14:textId="77777777" w:rsidR="00A14615" w:rsidRPr="005E6187" w:rsidRDefault="00A14615" w:rsidP="00441CCF">
      <w:pPr>
        <w:ind w:firstLine="567"/>
        <w:jc w:val="both"/>
        <w:rPr>
          <w:szCs w:val="24"/>
        </w:rPr>
      </w:pPr>
      <w:r w:rsidRPr="005E6187">
        <w:rPr>
          <w:szCs w:val="24"/>
        </w:rPr>
        <w:t>Пункты выдачи должны быть организованы Поставщиком в г. Краснодар (не менее 2-х пунктов), г. Армавир, г. Новороссийск, г. Анапа. Дополнительные пункты выдачи, по согласованию с Заказчиком, могут быть организованы в иных городах и населенных пунктах Краснодарского края по выбору Поставщика.</w:t>
      </w:r>
    </w:p>
    <w:p w14:paraId="4EA550B4" w14:textId="77777777" w:rsidR="00A14615" w:rsidRPr="005E6187" w:rsidRDefault="00A14615" w:rsidP="00441CCF">
      <w:pPr>
        <w:ind w:firstLine="567"/>
        <w:jc w:val="both"/>
        <w:rPr>
          <w:szCs w:val="24"/>
        </w:rPr>
      </w:pPr>
      <w:r w:rsidRPr="005E6187">
        <w:rPr>
          <w:szCs w:val="24"/>
        </w:rPr>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3715D8AA" w14:textId="77777777" w:rsidR="00A14615" w:rsidRPr="005E6187" w:rsidRDefault="00A14615" w:rsidP="00441CCF">
      <w:pPr>
        <w:ind w:firstLine="567"/>
        <w:jc w:val="both"/>
        <w:rPr>
          <w:szCs w:val="24"/>
        </w:rPr>
      </w:pPr>
      <w:r w:rsidRPr="005E6187">
        <w:rPr>
          <w:szCs w:val="24"/>
        </w:rPr>
        <w:t>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14:paraId="2604B141" w14:textId="77777777" w:rsidR="00A14615" w:rsidRPr="005E6187" w:rsidRDefault="00A14615" w:rsidP="00A14615">
      <w:pPr>
        <w:ind w:firstLine="567"/>
        <w:jc w:val="both"/>
        <w:rPr>
          <w:szCs w:val="24"/>
        </w:rPr>
      </w:pPr>
    </w:p>
    <w:p w14:paraId="70A15691" w14:textId="77777777" w:rsidR="00B31925" w:rsidRPr="005E6187" w:rsidRDefault="00B31925" w:rsidP="00BE2FE7">
      <w:pPr>
        <w:keepLines/>
        <w:widowControl w:val="0"/>
        <w:tabs>
          <w:tab w:val="left" w:pos="5865"/>
        </w:tabs>
        <w:suppressAutoHyphens/>
        <w:jc w:val="center"/>
        <w:rPr>
          <w:szCs w:val="24"/>
        </w:rPr>
      </w:pPr>
    </w:p>
    <w:sectPr w:rsidR="00B31925" w:rsidRPr="005E6187" w:rsidSect="00ED7055">
      <w:pgSz w:w="16838" w:h="11906" w:orient="landscape"/>
      <w:pgMar w:top="851"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53D10372" w14:textId="77777777" w:rsidR="00831F79" w:rsidRDefault="00831F79" w:rsidP="00831F79">
      <w:pPr>
        <w:pStyle w:val="affff4"/>
      </w:pPr>
      <w:r>
        <w:rPr>
          <w:rStyle w:val="affff6"/>
        </w:rPr>
        <w:footnoteRef/>
      </w:r>
      <w:r>
        <w:t xml:space="preserve"> Не более</w:t>
      </w:r>
    </w:p>
  </w:footnote>
  <w:footnote w:id="2">
    <w:p w14:paraId="147E01C3" w14:textId="77777777" w:rsidR="00831F79" w:rsidRDefault="00831F79" w:rsidP="00831F79">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65E84"/>
    <w:rsid w:val="00292D62"/>
    <w:rsid w:val="002B6BAD"/>
    <w:rsid w:val="002B6F74"/>
    <w:rsid w:val="002D7B85"/>
    <w:rsid w:val="002E1EDD"/>
    <w:rsid w:val="002F2C66"/>
    <w:rsid w:val="0032718C"/>
    <w:rsid w:val="0032740B"/>
    <w:rsid w:val="00353467"/>
    <w:rsid w:val="003910AA"/>
    <w:rsid w:val="003D052C"/>
    <w:rsid w:val="003F1206"/>
    <w:rsid w:val="004031D1"/>
    <w:rsid w:val="00412270"/>
    <w:rsid w:val="00414B6D"/>
    <w:rsid w:val="00431882"/>
    <w:rsid w:val="00433F8E"/>
    <w:rsid w:val="00441CCF"/>
    <w:rsid w:val="004438E1"/>
    <w:rsid w:val="004542A4"/>
    <w:rsid w:val="00487CF6"/>
    <w:rsid w:val="004A0413"/>
    <w:rsid w:val="004B339D"/>
    <w:rsid w:val="004B668B"/>
    <w:rsid w:val="004E4016"/>
    <w:rsid w:val="004F1680"/>
    <w:rsid w:val="00503FAF"/>
    <w:rsid w:val="005168EE"/>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6187"/>
    <w:rsid w:val="005E781C"/>
    <w:rsid w:val="005F734A"/>
    <w:rsid w:val="005F7457"/>
    <w:rsid w:val="00624297"/>
    <w:rsid w:val="00627C14"/>
    <w:rsid w:val="00672F97"/>
    <w:rsid w:val="00690E40"/>
    <w:rsid w:val="00693A56"/>
    <w:rsid w:val="00696F3D"/>
    <w:rsid w:val="006978FC"/>
    <w:rsid w:val="006B7795"/>
    <w:rsid w:val="006C17CD"/>
    <w:rsid w:val="006E6C80"/>
    <w:rsid w:val="00723C0E"/>
    <w:rsid w:val="007341CA"/>
    <w:rsid w:val="00754F59"/>
    <w:rsid w:val="00786AE2"/>
    <w:rsid w:val="007B52CF"/>
    <w:rsid w:val="007B62A2"/>
    <w:rsid w:val="007C1661"/>
    <w:rsid w:val="007C5358"/>
    <w:rsid w:val="007E084A"/>
    <w:rsid w:val="00810222"/>
    <w:rsid w:val="00815D38"/>
    <w:rsid w:val="00831F79"/>
    <w:rsid w:val="00843A71"/>
    <w:rsid w:val="00844D62"/>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B3360"/>
    <w:rsid w:val="009D3DD9"/>
    <w:rsid w:val="009E4098"/>
    <w:rsid w:val="009F45BB"/>
    <w:rsid w:val="009F7006"/>
    <w:rsid w:val="00A14615"/>
    <w:rsid w:val="00A25E32"/>
    <w:rsid w:val="00A367F1"/>
    <w:rsid w:val="00A41014"/>
    <w:rsid w:val="00A464C9"/>
    <w:rsid w:val="00A516E5"/>
    <w:rsid w:val="00AA5CBB"/>
    <w:rsid w:val="00AE4A66"/>
    <w:rsid w:val="00B27775"/>
    <w:rsid w:val="00B27C95"/>
    <w:rsid w:val="00B3008E"/>
    <w:rsid w:val="00B31925"/>
    <w:rsid w:val="00B32DE4"/>
    <w:rsid w:val="00B74F4C"/>
    <w:rsid w:val="00B80306"/>
    <w:rsid w:val="00B849FF"/>
    <w:rsid w:val="00B91503"/>
    <w:rsid w:val="00BC12C7"/>
    <w:rsid w:val="00BD0741"/>
    <w:rsid w:val="00BD26F7"/>
    <w:rsid w:val="00BD790A"/>
    <w:rsid w:val="00BE2FE7"/>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26B3"/>
    <w:rsid w:val="00D843F9"/>
    <w:rsid w:val="00DC02BF"/>
    <w:rsid w:val="00DC615A"/>
    <w:rsid w:val="00DD390A"/>
    <w:rsid w:val="00DF5110"/>
    <w:rsid w:val="00DF5688"/>
    <w:rsid w:val="00E05835"/>
    <w:rsid w:val="00E06F0E"/>
    <w:rsid w:val="00E43D1E"/>
    <w:rsid w:val="00E462E9"/>
    <w:rsid w:val="00E812D9"/>
    <w:rsid w:val="00E91DED"/>
    <w:rsid w:val="00ED7055"/>
    <w:rsid w:val="00EE756A"/>
    <w:rsid w:val="00EF4A53"/>
    <w:rsid w:val="00F07616"/>
    <w:rsid w:val="00F16AA7"/>
    <w:rsid w:val="00F210DC"/>
    <w:rsid w:val="00F40C65"/>
    <w:rsid w:val="00F4162E"/>
    <w:rsid w:val="00F45416"/>
    <w:rsid w:val="00F55F93"/>
    <w:rsid w:val="00F82A8E"/>
    <w:rsid w:val="00F935B8"/>
    <w:rsid w:val="00FA34A1"/>
    <w:rsid w:val="00FB3816"/>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C9F9-83BE-4344-B009-1DCF033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uiPriority w:val="59"/>
    <w:rsid w:val="00831F79"/>
    <w:pPr>
      <w:spacing w:after="0" w:line="240" w:lineRule="auto"/>
    </w:pPr>
    <w:rPr>
      <w:rFonts w:eastAsia="Calibri"/>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81317-B9C5-45E4-907D-0E321FB6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172</cp:revision>
  <dcterms:created xsi:type="dcterms:W3CDTF">2021-12-29T15:28:00Z</dcterms:created>
  <dcterms:modified xsi:type="dcterms:W3CDTF">2023-08-21T13:13:00Z</dcterms:modified>
</cp:coreProperties>
</file>