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E" w:rsidRPr="0028569E" w:rsidRDefault="0028569E" w:rsidP="0028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69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Поставка инвалидам </w:t>
      </w:r>
      <w:r w:rsidR="00F73F29" w:rsidRPr="0033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абсорбирующего белья</w:t>
      </w:r>
      <w:r w:rsidR="0033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20F7" w:rsidRPr="003320F7" w:rsidRDefault="003320F7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69E" w:rsidRP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 w:rsidR="00F8364E">
        <w:rPr>
          <w:rFonts w:ascii="Times New Roman" w:eastAsia="Arial" w:hAnsi="Times New Roman" w:cs="Times New Roman"/>
          <w:szCs w:val="23"/>
          <w:lang w:eastAsia="ar-SA"/>
        </w:rPr>
        <w:t xml:space="preserve">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="007866FA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7866FA">
        <w:rPr>
          <w:rFonts w:ascii="Times New Roman" w:eastAsia="Arial" w:hAnsi="Times New Roman" w:cs="Times New Roman"/>
          <w:sz w:val="24"/>
          <w:szCs w:val="24"/>
          <w:lang w:eastAsia="ar-SA"/>
        </w:rPr>
        <w:t>пяти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рабочих дней </w:t>
      </w:r>
      <w:proofErr w:type="gramStart"/>
      <w:r w:rsidRPr="0028569E">
        <w:rPr>
          <w:rFonts w:ascii="Times New Roman" w:eastAsia="Arial" w:hAnsi="Times New Roman" w:cs="Times New Roman"/>
          <w:szCs w:val="23"/>
          <w:lang w:eastAsia="ar-SA"/>
        </w:rPr>
        <w:t>с даты подписания</w:t>
      </w:r>
      <w:proofErr w:type="gramEnd"/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 Государственного контракта для осуществления проверки качества Товара.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28569E" w:rsidRPr="0028569E" w:rsidRDefault="0028569E" w:rsidP="0028569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8276"/>
        <w:gridCol w:w="993"/>
      </w:tblGrid>
      <w:tr w:rsidR="00466F2C" w:rsidRPr="0028569E" w:rsidTr="00466F2C">
        <w:tc>
          <w:tcPr>
            <w:tcW w:w="1471" w:type="dxa"/>
            <w:shd w:val="clear" w:color="auto" w:fill="auto"/>
            <w:vAlign w:val="center"/>
          </w:tcPr>
          <w:p w:rsidR="00466F2C" w:rsidRPr="0028569E" w:rsidRDefault="00466F2C" w:rsidP="002856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</w:tr>
      <w:tr w:rsidR="00466F2C" w:rsidRPr="0028569E" w:rsidTr="00466F2C">
        <w:trPr>
          <w:trHeight w:val="2684"/>
        </w:trPr>
        <w:tc>
          <w:tcPr>
            <w:tcW w:w="1471" w:type="dxa"/>
            <w:shd w:val="clear" w:color="auto" w:fill="auto"/>
            <w:vAlign w:val="center"/>
          </w:tcPr>
          <w:p w:rsidR="00466F2C" w:rsidRPr="00D84BB6" w:rsidRDefault="00466F2C" w:rsidP="00910EA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Впитывающие простыни (пеленки) размером не менее 40 х 60 см 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(впитываемостью от 400 до 500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40 x 60 см (впитываемостью от 400 до 500 мл). Впитывающие простыни (пелёнки) должны быть размером - длина не менее 40 см, ширина не менее 60 см;  впитываемостью - от 400 до 500 мл.</w:t>
            </w:r>
          </w:p>
          <w:p w:rsidR="00466F2C" w:rsidRPr="00A1347B" w:rsidRDefault="00951694" w:rsidP="00E641DA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</w:t>
            </w:r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ветствовать </w:t>
            </w:r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57762-2021</w:t>
            </w:r>
            <w:r w:rsid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Белье абсорбирующее. Общие технические условия</w:t>
            </w:r>
            <w:r w:rsid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A7270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8 700</w:t>
            </w:r>
          </w:p>
        </w:tc>
      </w:tr>
      <w:tr w:rsidR="00466F2C" w:rsidRPr="0028569E" w:rsidTr="009928E2">
        <w:trPr>
          <w:trHeight w:val="274"/>
        </w:trPr>
        <w:tc>
          <w:tcPr>
            <w:tcW w:w="1471" w:type="dxa"/>
            <w:shd w:val="clear" w:color="auto" w:fill="auto"/>
            <w:vAlign w:val="center"/>
          </w:tcPr>
          <w:p w:rsidR="00466F2C" w:rsidRPr="00D84BB6" w:rsidRDefault="00466F2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Впитывающие простыни (пеленки) размером не менее 60 х 60 см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(впитываемостью от 800 до 1200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(пеленки) размером не менее 60 x 60 см (впитываемостью от 800 до 1200 мл). </w:t>
            </w:r>
          </w:p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Впитывающие простыни (пелёнки) должны быть размером - длина не менее 60 см, ширина не менее  60 см;  впитываемостью -  от 800 до 1200 мл.</w:t>
            </w:r>
          </w:p>
          <w:p w:rsidR="00466F2C" w:rsidRPr="00A1347B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соответствовать 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57762-2021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Белье абсорбирующее. Общие технические условия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A7270E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52 200</w:t>
            </w:r>
          </w:p>
        </w:tc>
      </w:tr>
      <w:tr w:rsidR="00466F2C" w:rsidRPr="0028569E" w:rsidTr="004E70AC">
        <w:trPr>
          <w:trHeight w:val="1691"/>
        </w:trPr>
        <w:tc>
          <w:tcPr>
            <w:tcW w:w="1471" w:type="dxa"/>
            <w:shd w:val="clear" w:color="auto" w:fill="auto"/>
            <w:vAlign w:val="center"/>
          </w:tcPr>
          <w:p w:rsidR="00466F2C" w:rsidRPr="00F86F78" w:rsidRDefault="00466F2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C733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Впитывающие простыни (пеленки) размером не менее 60 х 90 см </w:t>
            </w:r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(впитываемостью от 1200 до 1900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Впитывающие простыни (пеленки) размером не менее 60 x 90 см (впитываемостью от 1200 до 1900 мл). Впитывающие простыни (пелёнки) должны быть размером - длина не менее 60 см, ширина не менее 90 см; впитываемостью -  от 1200 до 1900 мл.</w:t>
            </w:r>
          </w:p>
          <w:p w:rsidR="00466F2C" w:rsidRPr="0028569E" w:rsidRDefault="00951694" w:rsidP="0095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впитываемости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соответствовать 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57762-2021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Белье абсорбирующее. Общие технические условия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A7270E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730 200</w:t>
            </w:r>
          </w:p>
        </w:tc>
      </w:tr>
      <w:tr w:rsidR="00466F2C" w:rsidRPr="0028569E" w:rsidTr="00466F2C">
        <w:tc>
          <w:tcPr>
            <w:tcW w:w="9747" w:type="dxa"/>
            <w:gridSpan w:val="2"/>
            <w:shd w:val="clear" w:color="auto" w:fill="auto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466F2C" w:rsidRPr="0028569E" w:rsidRDefault="00317103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791 100</w:t>
            </w:r>
          </w:p>
        </w:tc>
      </w:tr>
    </w:tbl>
    <w:p w:rsidR="003320F7" w:rsidRDefault="003320F7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 </w:t>
      </w:r>
      <w:r w:rsidR="008114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0.</w:t>
      </w:r>
      <w:r w:rsidR="008114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08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8114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:  Пункты выдачи должны быть организованы Поставщиком в г. Ростове-на-Дону, г. Новочеркасске, г. Таганроге, г. Шахты.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951694" w:rsidRPr="00951694" w:rsidRDefault="00951694" w:rsidP="0095169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51694" w:rsidRPr="00951694" w:rsidRDefault="00951694" w:rsidP="0095169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621599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 месту жительства получателя 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 (Семи) календарных дней с момента получения Поставщиком Реестров Получателей, но 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 </w:t>
      </w:r>
      <w:r w:rsidR="00F85A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0.</w:t>
      </w:r>
      <w:r w:rsidR="00F85A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08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F85A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Ростов-на-Дону,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</w:t>
      </w:r>
      <w:proofErr w:type="gram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Веселовский районы, г. Константиновск, Константиновский, Семикаракорский, Усть-Донецкий,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Куйбышевский районы, г. Белая Калитва,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</w:t>
      </w:r>
      <w:proofErr w:type="gram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Тарасовский районы, г. 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Новочеркасск,  г. Азов, Азовский район, г. Сальск,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E5195B" w:rsidRDefault="00E5195B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sectPr w:rsidR="00E5195B" w:rsidSect="00243A0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027CE3"/>
    <w:rsid w:val="00044E50"/>
    <w:rsid w:val="00075E61"/>
    <w:rsid w:val="000A2054"/>
    <w:rsid w:val="000B700E"/>
    <w:rsid w:val="0019306E"/>
    <w:rsid w:val="001953AD"/>
    <w:rsid w:val="001B7452"/>
    <w:rsid w:val="001D2E9F"/>
    <w:rsid w:val="00200B1E"/>
    <w:rsid w:val="00226E7E"/>
    <w:rsid w:val="002408AB"/>
    <w:rsid w:val="00240C53"/>
    <w:rsid w:val="00243A02"/>
    <w:rsid w:val="002755CC"/>
    <w:rsid w:val="0028569E"/>
    <w:rsid w:val="00297E00"/>
    <w:rsid w:val="002B1780"/>
    <w:rsid w:val="002B2F68"/>
    <w:rsid w:val="002C0D8F"/>
    <w:rsid w:val="00311060"/>
    <w:rsid w:val="003141DA"/>
    <w:rsid w:val="003160D1"/>
    <w:rsid w:val="00317103"/>
    <w:rsid w:val="00317857"/>
    <w:rsid w:val="00323431"/>
    <w:rsid w:val="003320F7"/>
    <w:rsid w:val="00362206"/>
    <w:rsid w:val="003627B7"/>
    <w:rsid w:val="00364C03"/>
    <w:rsid w:val="00374B84"/>
    <w:rsid w:val="003E44B7"/>
    <w:rsid w:val="0043223F"/>
    <w:rsid w:val="00444556"/>
    <w:rsid w:val="00444966"/>
    <w:rsid w:val="00464AF8"/>
    <w:rsid w:val="00466F2C"/>
    <w:rsid w:val="004743E1"/>
    <w:rsid w:val="00481C4E"/>
    <w:rsid w:val="004D5C03"/>
    <w:rsid w:val="004E70AC"/>
    <w:rsid w:val="005273F8"/>
    <w:rsid w:val="00545ED1"/>
    <w:rsid w:val="005527A3"/>
    <w:rsid w:val="00563916"/>
    <w:rsid w:val="00587E6A"/>
    <w:rsid w:val="00595AC0"/>
    <w:rsid w:val="005D51B3"/>
    <w:rsid w:val="005D7F92"/>
    <w:rsid w:val="00602179"/>
    <w:rsid w:val="00603004"/>
    <w:rsid w:val="00621599"/>
    <w:rsid w:val="006412C8"/>
    <w:rsid w:val="00646CBE"/>
    <w:rsid w:val="00682AAC"/>
    <w:rsid w:val="00696F02"/>
    <w:rsid w:val="006C3839"/>
    <w:rsid w:val="006D2D7D"/>
    <w:rsid w:val="006D358C"/>
    <w:rsid w:val="006F4345"/>
    <w:rsid w:val="00725EBB"/>
    <w:rsid w:val="007866FA"/>
    <w:rsid w:val="007E5710"/>
    <w:rsid w:val="00811442"/>
    <w:rsid w:val="008700CF"/>
    <w:rsid w:val="008B46FD"/>
    <w:rsid w:val="00910EAE"/>
    <w:rsid w:val="009261EC"/>
    <w:rsid w:val="00936F24"/>
    <w:rsid w:val="00937D6E"/>
    <w:rsid w:val="00951694"/>
    <w:rsid w:val="00970D04"/>
    <w:rsid w:val="009928E2"/>
    <w:rsid w:val="009955B7"/>
    <w:rsid w:val="009C3F54"/>
    <w:rsid w:val="00A107A5"/>
    <w:rsid w:val="00A11C7F"/>
    <w:rsid w:val="00A1347B"/>
    <w:rsid w:val="00A21A52"/>
    <w:rsid w:val="00A26712"/>
    <w:rsid w:val="00A27DBB"/>
    <w:rsid w:val="00A53810"/>
    <w:rsid w:val="00A5778D"/>
    <w:rsid w:val="00A7270E"/>
    <w:rsid w:val="00AF3B90"/>
    <w:rsid w:val="00B15F65"/>
    <w:rsid w:val="00B2362F"/>
    <w:rsid w:val="00B27112"/>
    <w:rsid w:val="00B42726"/>
    <w:rsid w:val="00B6640A"/>
    <w:rsid w:val="00B7102A"/>
    <w:rsid w:val="00B77788"/>
    <w:rsid w:val="00BA716D"/>
    <w:rsid w:val="00BF3565"/>
    <w:rsid w:val="00BF5FC0"/>
    <w:rsid w:val="00C441B5"/>
    <w:rsid w:val="00CA2058"/>
    <w:rsid w:val="00CA48BE"/>
    <w:rsid w:val="00CB2048"/>
    <w:rsid w:val="00CD2BE7"/>
    <w:rsid w:val="00D1715C"/>
    <w:rsid w:val="00D53901"/>
    <w:rsid w:val="00D70FDC"/>
    <w:rsid w:val="00D84BB6"/>
    <w:rsid w:val="00DB6BA1"/>
    <w:rsid w:val="00DD5FD2"/>
    <w:rsid w:val="00DE6278"/>
    <w:rsid w:val="00E27142"/>
    <w:rsid w:val="00E371DA"/>
    <w:rsid w:val="00E47F85"/>
    <w:rsid w:val="00E5195B"/>
    <w:rsid w:val="00E55914"/>
    <w:rsid w:val="00E641DA"/>
    <w:rsid w:val="00E815DD"/>
    <w:rsid w:val="00E912DD"/>
    <w:rsid w:val="00EE2E3C"/>
    <w:rsid w:val="00EE3756"/>
    <w:rsid w:val="00F22221"/>
    <w:rsid w:val="00F25C5B"/>
    <w:rsid w:val="00F262AD"/>
    <w:rsid w:val="00F30F51"/>
    <w:rsid w:val="00F7126F"/>
    <w:rsid w:val="00F727F4"/>
    <w:rsid w:val="00F73F29"/>
    <w:rsid w:val="00F74DB3"/>
    <w:rsid w:val="00F8364E"/>
    <w:rsid w:val="00F85A2A"/>
    <w:rsid w:val="00F86F78"/>
    <w:rsid w:val="00FB139D"/>
    <w:rsid w:val="00FC1903"/>
    <w:rsid w:val="00FC7338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Юсупова Светлана Владимировна</cp:lastModifiedBy>
  <cp:revision>140</cp:revision>
  <cp:lastPrinted>2022-01-26T09:51:00Z</cp:lastPrinted>
  <dcterms:created xsi:type="dcterms:W3CDTF">2019-07-13T06:31:00Z</dcterms:created>
  <dcterms:modified xsi:type="dcterms:W3CDTF">2022-01-26T09:51:00Z</dcterms:modified>
</cp:coreProperties>
</file>