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CD" w:rsidRDefault="002A26CD" w:rsidP="002A26CD">
      <w:pPr>
        <w:autoSpaceDE w:val="0"/>
        <w:ind w:firstLine="709"/>
        <w:jc w:val="right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>Приложение № 1 к извещению</w:t>
      </w:r>
    </w:p>
    <w:p w:rsidR="002A26CD" w:rsidRDefault="002A26CD" w:rsidP="002A26CD">
      <w:pPr>
        <w:autoSpaceDE w:val="0"/>
        <w:ind w:firstLine="709"/>
        <w:jc w:val="right"/>
        <w:rPr>
          <w:rFonts w:eastAsia="Arial"/>
          <w:b/>
          <w:szCs w:val="23"/>
        </w:rPr>
      </w:pPr>
    </w:p>
    <w:p w:rsidR="002A26CD" w:rsidRDefault="002A26CD" w:rsidP="002A26CD">
      <w:pPr>
        <w:autoSpaceDE w:val="0"/>
        <w:ind w:firstLine="709"/>
        <w:jc w:val="right"/>
        <w:rPr>
          <w:rFonts w:eastAsia="Arial"/>
          <w:b/>
          <w:szCs w:val="23"/>
        </w:rPr>
      </w:pPr>
    </w:p>
    <w:p w:rsidR="003102DF" w:rsidRPr="002A26CD" w:rsidRDefault="002A26CD" w:rsidP="003102DF">
      <w:pPr>
        <w:autoSpaceDE w:val="0"/>
        <w:ind w:firstLine="709"/>
        <w:jc w:val="center"/>
        <w:rPr>
          <w:rFonts w:eastAsia="Arial"/>
          <w:b/>
          <w:szCs w:val="23"/>
        </w:rPr>
      </w:pPr>
      <w:r w:rsidRPr="002A26CD">
        <w:rPr>
          <w:rFonts w:eastAsia="Arial"/>
          <w:b/>
          <w:szCs w:val="23"/>
        </w:rPr>
        <w:t>ОПИСАНИЕ ОБЪЕКТА ЗАКУПКИ</w:t>
      </w:r>
    </w:p>
    <w:p w:rsidR="003102DF" w:rsidRPr="002A26CD" w:rsidRDefault="002A26CD" w:rsidP="003102DF">
      <w:pPr>
        <w:jc w:val="center"/>
        <w:rPr>
          <w:b/>
        </w:rPr>
      </w:pPr>
      <w:r w:rsidRPr="002A26CD">
        <w:rPr>
          <w:b/>
        </w:rPr>
        <w:t>на поставку</w:t>
      </w:r>
      <w:r w:rsidR="003102DF" w:rsidRPr="002A26CD">
        <w:rPr>
          <w:b/>
        </w:rPr>
        <w:t xml:space="preserve"> специальных средств при нарушениях функций выделения для обеспечения инвалидов.</w:t>
      </w:r>
    </w:p>
    <w:p w:rsidR="002A26CD" w:rsidRDefault="002A26CD" w:rsidP="003102DF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1165"/>
        <w:gridCol w:w="68"/>
        <w:gridCol w:w="1409"/>
        <w:gridCol w:w="1243"/>
        <w:gridCol w:w="1053"/>
        <w:gridCol w:w="1296"/>
        <w:gridCol w:w="1037"/>
        <w:gridCol w:w="80"/>
        <w:gridCol w:w="545"/>
        <w:gridCol w:w="1018"/>
      </w:tblGrid>
      <w:tr w:rsidR="003102DF" w:rsidTr="002B32B0">
        <w:trPr>
          <w:trHeight w:val="22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2B32B0">
        <w:trPr>
          <w:trHeight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3102DF" w:rsidTr="002B32B0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102DF" w:rsidTr="002B32B0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2B32B0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в тубе, не менее 60 г.</w:t>
            </w:r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21-01-29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2B32B0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10 500</w:t>
            </w:r>
          </w:p>
        </w:tc>
      </w:tr>
      <w:tr w:rsidR="003102DF" w:rsidTr="002B32B0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Паста-герметик должна быть предназначена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для защиты и выравнивания кожи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в тубе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3102DF" w:rsidTr="002B32B0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Паста-герметик должна быть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гипоаллергенная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моделируемая паста для защиты кожи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102DF" w:rsidTr="002B32B0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Паста-герметик должна использоваться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для герметизации калоприемника или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уроприемника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, выравнивания шрамов и складок на коже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в тубе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2B32B0">
        <w:trPr>
          <w:trHeight w:val="28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Паста-герметик должна быть в тубе емкостью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Не менее 60 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2B32B0">
        <w:trPr>
          <w:trHeight w:val="225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2B32B0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10 500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</w:t>
      </w:r>
      <w:r>
        <w:lastRenderedPageBreak/>
        <w:t xml:space="preserve">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proofErr w:type="gramStart"/>
      <w:r>
        <w:t>Маркировка  упаковки</w:t>
      </w:r>
      <w:proofErr w:type="gramEnd"/>
      <w:r>
        <w:t xml:space="preserve"> специальных средств при  нарушениях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702D7B" w:rsidRDefault="00702D7B"/>
    <w:sectPr w:rsidR="007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0702D0"/>
    <w:rsid w:val="002A26CD"/>
    <w:rsid w:val="002B32B0"/>
    <w:rsid w:val="003102DF"/>
    <w:rsid w:val="00702D7B"/>
    <w:rsid w:val="008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Тужилина Наталья Юрьевна</cp:lastModifiedBy>
  <cp:revision>3</cp:revision>
  <dcterms:created xsi:type="dcterms:W3CDTF">2023-03-20T12:36:00Z</dcterms:created>
  <dcterms:modified xsi:type="dcterms:W3CDTF">2023-03-20T12:38:00Z</dcterms:modified>
</cp:coreProperties>
</file>