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9410B9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9410B9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9410B9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9410B9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Pr="009410B9" w:rsidRDefault="00FB5E88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154EBC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>ЭА</w:t>
      </w:r>
      <w:r w:rsidR="00996A95" w:rsidRPr="009410B9">
        <w:rPr>
          <w:rFonts w:ascii="Times New Roman" w:hAnsi="Times New Roman" w:cs="Times New Roman"/>
          <w:b/>
          <w:color w:val="000000"/>
        </w:rPr>
        <w:t xml:space="preserve">. </w:t>
      </w:r>
      <w:r w:rsidR="004A28D8">
        <w:rPr>
          <w:rFonts w:ascii="Times New Roman" w:hAnsi="Times New Roman" w:cs="Times New Roman"/>
          <w:b/>
          <w:color w:val="000000"/>
        </w:rPr>
        <w:t>22</w:t>
      </w:r>
      <w:r w:rsidR="00EE5E8A">
        <w:rPr>
          <w:rFonts w:ascii="Times New Roman" w:hAnsi="Times New Roman" w:cs="Times New Roman"/>
          <w:b/>
          <w:color w:val="000000"/>
        </w:rPr>
        <w:t>4</w:t>
      </w:r>
      <w:r w:rsidR="00F86F66" w:rsidRPr="009410B9">
        <w:rPr>
          <w:rFonts w:ascii="Times New Roman" w:hAnsi="Times New Roman" w:cs="Times New Roman"/>
          <w:b/>
          <w:color w:val="000000"/>
        </w:rPr>
        <w:t>-22</w:t>
      </w:r>
    </w:p>
    <w:p w:rsidR="0047035A" w:rsidRPr="002C2437" w:rsidRDefault="0047035A" w:rsidP="0047035A">
      <w:pPr>
        <w:jc w:val="center"/>
        <w:rPr>
          <w:rFonts w:ascii="Times New Roman" w:eastAsia="Calibri" w:hAnsi="Times New Roman"/>
          <w:color w:val="000000"/>
          <w:spacing w:val="-1"/>
          <w:lang w:eastAsia="zh-CN"/>
        </w:rPr>
      </w:pPr>
      <w:r w:rsidRPr="002C2437">
        <w:rPr>
          <w:rFonts w:ascii="Times New Roman" w:eastAsia="Calibri" w:hAnsi="Times New Roman"/>
          <w:color w:val="000000"/>
          <w:spacing w:val="-1"/>
          <w:lang w:eastAsia="zh-CN"/>
        </w:rPr>
        <w:t>на поставку технических средств реабилитации (</w:t>
      </w:r>
      <w:proofErr w:type="spellStart"/>
      <w:r w:rsidRPr="002C2437">
        <w:rPr>
          <w:rFonts w:ascii="Times New Roman" w:eastAsia="Calibri" w:hAnsi="Times New Roman"/>
          <w:color w:val="000000"/>
          <w:spacing w:val="-1"/>
          <w:lang w:eastAsia="zh-CN"/>
        </w:rPr>
        <w:t>уроприемников</w:t>
      </w:r>
      <w:proofErr w:type="spellEnd"/>
      <w:r w:rsidRPr="002C2437">
        <w:rPr>
          <w:rFonts w:ascii="Times New Roman" w:eastAsia="Calibri" w:hAnsi="Times New Roman"/>
          <w:color w:val="000000"/>
          <w:spacing w:val="-1"/>
          <w:lang w:eastAsia="zh-CN"/>
        </w:rPr>
        <w:t>) для обеспечения ими инвалидов в 2022 году</w:t>
      </w:r>
    </w:p>
    <w:p w:rsidR="0047035A" w:rsidRPr="00CC25BC" w:rsidRDefault="0047035A" w:rsidP="0047035A">
      <w:pPr>
        <w:jc w:val="center"/>
        <w:rPr>
          <w:rFonts w:ascii="Times New Roman" w:hAnsi="Times New Roman"/>
        </w:rPr>
      </w:pPr>
    </w:p>
    <w:tbl>
      <w:tblPr>
        <w:tblW w:w="10817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09"/>
        <w:gridCol w:w="3436"/>
        <w:gridCol w:w="5685"/>
        <w:gridCol w:w="987"/>
      </w:tblGrid>
      <w:tr w:rsidR="0047035A" w:rsidRPr="005368FF" w:rsidTr="0047035A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35A" w:rsidRPr="005368FF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8FF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35A" w:rsidRPr="005368FF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8F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5A" w:rsidRPr="005368FF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8FF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35A" w:rsidRPr="005368FF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8FF">
              <w:rPr>
                <w:rFonts w:ascii="Times New Roman" w:eastAsia="Times New Roman" w:hAnsi="Times New Roman"/>
                <w:color w:val="000000"/>
                <w:lang w:eastAsia="ru-RU"/>
              </w:rPr>
              <w:t>Кол-во (шт.)</w:t>
            </w:r>
          </w:p>
        </w:tc>
      </w:tr>
      <w:tr w:rsidR="0047035A" w:rsidRPr="005368FF" w:rsidTr="0047035A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Однокомпонентный дренируемый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однокомпонентный неразъемный должен быть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уростомный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антирефлюксным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и сливным клапанами; со встроенной адгезивной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гипоаллергенной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адгезивов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стому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, с диаметром стартового отверстия не более 15 мм.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>11490</w:t>
            </w:r>
          </w:p>
        </w:tc>
      </w:tr>
      <w:tr w:rsidR="0047035A" w:rsidRPr="005368FF" w:rsidTr="0047035A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уроприемник</w:t>
            </w:r>
            <w:proofErr w:type="spellEnd"/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Уростомный</w:t>
            </w:r>
            <w:proofErr w:type="spellEnd"/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мешок.</w:t>
            </w:r>
          </w:p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уроприемникаАдгезивная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986F00">
              <w:rPr>
                <w:rFonts w:ascii="Times New Roman" w:hAnsi="Times New Roman"/>
                <w:color w:val="000000"/>
                <w:szCs w:val="20"/>
              </w:rPr>
              <w:t>пластина  для</w:t>
            </w:r>
            <w:proofErr w:type="gram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уроприемника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двухкомпонентного должна быть с клеевым слоем на натуральной,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гипоаллергенной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основе, структуры, состоящей из многослойных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адгезивов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, с защитным покрытием, с креплением для пояса, с вырезаемым отверстием под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стому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>, с фланцем для крепления мешка, соответствующему фланцу мешка.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4026</w:t>
            </w:r>
          </w:p>
        </w:tc>
      </w:tr>
      <w:tr w:rsidR="0047035A" w:rsidRPr="005368FF" w:rsidTr="0047035A">
        <w:trPr>
          <w:trHeight w:val="124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Мешок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уростомный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для двухкомпонентного дренируемого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уроприемника.Уростомный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антирефлюксным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12078</w:t>
            </w:r>
          </w:p>
        </w:tc>
      </w:tr>
      <w:tr w:rsidR="0047035A" w:rsidRPr="005368FF" w:rsidTr="0047035A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Двухкомпонентный дренируемый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для втянутых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стом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в комплекте: 1. Адгезивная пластина,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конвексная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; 2.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Уростомный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мешок.</w:t>
            </w: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Конвексная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адгезивная пластина для втянутых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стом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для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уроприемника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двухкомпонентного должна быть круглой формы с прозрачным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гипоаллергенным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гидроколлоидным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адгезивом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адгезивов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стому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>, с фланцем для крепления мешка, соответствующем фланцу мешка. С вырезаемым отверстием 14мм-43мм.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>210</w:t>
            </w:r>
          </w:p>
        </w:tc>
      </w:tr>
      <w:tr w:rsidR="0047035A" w:rsidRPr="005368FF" w:rsidTr="0047035A">
        <w:trPr>
          <w:trHeight w:val="93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Уростомный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986F00">
              <w:rPr>
                <w:rFonts w:ascii="Times New Roman" w:hAnsi="Times New Roman"/>
                <w:color w:val="000000"/>
                <w:szCs w:val="20"/>
              </w:rPr>
              <w:t>антирефлюксным</w:t>
            </w:r>
            <w:proofErr w:type="spellEnd"/>
            <w:r w:rsidRPr="00986F00">
              <w:rPr>
                <w:rFonts w:ascii="Times New Roman" w:hAnsi="Times New Roman"/>
                <w:color w:val="00000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5A" w:rsidRPr="00986F00" w:rsidRDefault="0047035A" w:rsidP="00214663">
            <w:pPr>
              <w:rPr>
                <w:rFonts w:ascii="Times New Roman" w:hAnsi="Times New Roman"/>
                <w:color w:val="000000"/>
                <w:szCs w:val="20"/>
              </w:rPr>
            </w:pPr>
            <w:r w:rsidRPr="00986F00">
              <w:rPr>
                <w:rFonts w:ascii="Times New Roman" w:hAnsi="Times New Roman"/>
                <w:color w:val="000000"/>
                <w:szCs w:val="20"/>
              </w:rPr>
              <w:t>630</w:t>
            </w:r>
          </w:p>
        </w:tc>
      </w:tr>
      <w:tr w:rsidR="0047035A" w:rsidRPr="005368FF" w:rsidTr="0047035A">
        <w:trPr>
          <w:trHeight w:val="258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5A" w:rsidRPr="00986F00" w:rsidRDefault="0047035A" w:rsidP="00214663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86F0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35A" w:rsidRPr="0047035A" w:rsidRDefault="0047035A" w:rsidP="00214663">
            <w:pPr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47035A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28 434</w:t>
            </w:r>
          </w:p>
        </w:tc>
      </w:tr>
    </w:tbl>
    <w:p w:rsidR="0047035A" w:rsidRDefault="0047035A" w:rsidP="0047035A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</w:t>
      </w:r>
    </w:p>
    <w:p w:rsidR="0047035A" w:rsidRPr="005368FF" w:rsidRDefault="0047035A" w:rsidP="0047035A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b/>
        </w:rPr>
      </w:pPr>
      <w:r w:rsidRPr="005368FF">
        <w:rPr>
          <w:rFonts w:ascii="Times New Roman" w:hAnsi="Times New Roman"/>
        </w:rPr>
        <w:t xml:space="preserve"> </w:t>
      </w:r>
      <w:r w:rsidRPr="005368FF"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47035A" w:rsidRPr="005368FF" w:rsidRDefault="0047035A" w:rsidP="004703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</w:t>
      </w:r>
      <w:r w:rsidRPr="005368FF">
        <w:rPr>
          <w:rFonts w:ascii="Times New Roman" w:hAnsi="Times New Roman"/>
        </w:rPr>
        <w:t>а</w:t>
      </w:r>
      <w:r w:rsidRPr="005368FF">
        <w:rPr>
          <w:rFonts w:ascii="Times New Roman" w:hAnsi="Times New Roman"/>
        </w:rPr>
        <w:t>зом.</w:t>
      </w:r>
    </w:p>
    <w:p w:rsidR="0047035A" w:rsidRPr="005368FF" w:rsidRDefault="0047035A" w:rsidP="004703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</w:t>
      </w:r>
      <w:r w:rsidRPr="005368FF">
        <w:rPr>
          <w:rFonts w:ascii="Times New Roman" w:hAnsi="Times New Roman"/>
        </w:rPr>
        <w:t>е</w:t>
      </w:r>
      <w:r w:rsidRPr="005368FF">
        <w:rPr>
          <w:rFonts w:ascii="Times New Roman" w:hAnsi="Times New Roman"/>
        </w:rPr>
        <w:t>бителей и благополучия человека.</w:t>
      </w:r>
    </w:p>
    <w:p w:rsidR="0047035A" w:rsidRPr="005368FF" w:rsidRDefault="0047035A" w:rsidP="004703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5368FF">
        <w:rPr>
          <w:rFonts w:ascii="Times New Roman" w:hAnsi="Times New Roman"/>
        </w:rPr>
        <w:t>генотоксичности</w:t>
      </w:r>
      <w:proofErr w:type="spellEnd"/>
      <w:r w:rsidRPr="005368FF">
        <w:rPr>
          <w:rFonts w:ascii="Times New Roman" w:hAnsi="Times New Roman"/>
        </w:rPr>
        <w:t xml:space="preserve">, </w:t>
      </w:r>
      <w:proofErr w:type="spellStart"/>
      <w:r w:rsidRPr="005368FF">
        <w:rPr>
          <w:rFonts w:ascii="Times New Roman" w:hAnsi="Times New Roman"/>
        </w:rPr>
        <w:t>канцерогенности</w:t>
      </w:r>
      <w:proofErr w:type="spellEnd"/>
      <w:r w:rsidRPr="005368FF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68FF">
        <w:rPr>
          <w:rFonts w:ascii="Times New Roman" w:hAnsi="Times New Roman"/>
        </w:rPr>
        <w:t>цитотоксичность</w:t>
      </w:r>
      <w:proofErr w:type="spellEnd"/>
      <w:r w:rsidRPr="005368FF">
        <w:rPr>
          <w:rFonts w:ascii="Times New Roman" w:hAnsi="Times New Roman"/>
        </w:rPr>
        <w:t>: методы «</w:t>
      </w:r>
      <w:proofErr w:type="spellStart"/>
      <w:r w:rsidRPr="005368FF">
        <w:rPr>
          <w:rFonts w:ascii="Times New Roman" w:hAnsi="Times New Roman"/>
        </w:rPr>
        <w:t>in</w:t>
      </w:r>
      <w:proofErr w:type="spellEnd"/>
      <w:r w:rsidRPr="005368FF">
        <w:rPr>
          <w:rFonts w:ascii="Times New Roman" w:hAnsi="Times New Roman"/>
        </w:rPr>
        <w:t xml:space="preserve"> </w:t>
      </w:r>
      <w:proofErr w:type="spellStart"/>
      <w:r w:rsidRPr="005368FF">
        <w:rPr>
          <w:rFonts w:ascii="Times New Roman" w:hAnsi="Times New Roman"/>
        </w:rPr>
        <w:t>vitro</w:t>
      </w:r>
      <w:proofErr w:type="spellEnd"/>
      <w:r w:rsidRPr="005368FF"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47035A" w:rsidRPr="005368FF" w:rsidRDefault="0047035A" w:rsidP="004703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5368FF">
        <w:rPr>
          <w:rFonts w:ascii="Times New Roman" w:hAnsi="Times New Roman"/>
        </w:rPr>
        <w:t>2021</w:t>
      </w:r>
      <w:r w:rsidRPr="005368FF">
        <w:rPr>
          <w:rFonts w:ascii="Times New Roman" w:eastAsia="Calibri" w:hAnsi="Times New Roman"/>
        </w:rPr>
        <w:t xml:space="preserve"> </w:t>
      </w:r>
      <w:r w:rsidRPr="005368FF">
        <w:rPr>
          <w:rFonts w:ascii="Times New Roman" w:hAnsi="Times New Roman"/>
        </w:rPr>
        <w:t xml:space="preserve"> «</w:t>
      </w:r>
      <w:proofErr w:type="gramEnd"/>
      <w:r w:rsidRPr="005368FF">
        <w:rPr>
          <w:rFonts w:ascii="Times New Roman" w:hAnsi="Times New Roman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7035A" w:rsidRPr="005368FF" w:rsidRDefault="0047035A" w:rsidP="0047035A">
      <w:pPr>
        <w:tabs>
          <w:tab w:val="left" w:pos="708"/>
        </w:tabs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 w:rsidRPr="005368FF">
        <w:rPr>
          <w:rFonts w:ascii="Times New Roman" w:eastAsia="Times New Roman" w:hAnsi="Times New Roman"/>
          <w:lang w:eastAsia="ru-RU"/>
        </w:rPr>
        <w:t>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Маркировка упаковки калоприемников должна включать: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5368FF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47035A" w:rsidRPr="005368FF" w:rsidRDefault="0047035A" w:rsidP="004703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lang w:eastAsia="ru-RU"/>
        </w:rPr>
        <w:t>Сроки гарантии</w:t>
      </w:r>
      <w:r w:rsidRPr="005368FF"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47035A" w:rsidRPr="005368FF" w:rsidRDefault="0047035A" w:rsidP="004703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7035A">
        <w:rPr>
          <w:rFonts w:ascii="Times New Roman" w:eastAsia="Times New Roman" w:hAnsi="Times New Roman"/>
          <w:b/>
          <w:lang w:eastAsia="ru-RU"/>
        </w:rPr>
        <w:t>Срок годности</w:t>
      </w:r>
      <w:r w:rsidRPr="005368FF">
        <w:rPr>
          <w:rFonts w:ascii="Times New Roman" w:eastAsia="Times New Roman" w:hAnsi="Times New Roman"/>
          <w:lang w:eastAsia="ru-RU"/>
        </w:rPr>
        <w:t xml:space="preserve"> продукции на момент выдачи изделий должен быть не менее 1 года.</w:t>
      </w:r>
    </w:p>
    <w:p w:rsidR="0047035A" w:rsidRPr="005368FF" w:rsidRDefault="0047035A" w:rsidP="0047035A">
      <w:pPr>
        <w:ind w:firstLine="708"/>
        <w:rPr>
          <w:rFonts w:ascii="Times New Roman" w:hAnsi="Times New Roman"/>
          <w:color w:val="000000"/>
        </w:rPr>
      </w:pPr>
      <w:bookmarkStart w:id="0" w:name="_GoBack"/>
      <w:bookmarkEnd w:id="0"/>
    </w:p>
    <w:p w:rsidR="0047035A" w:rsidRDefault="0047035A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47035A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7035A"/>
    <w:rsid w:val="00485F59"/>
    <w:rsid w:val="004A26A8"/>
    <w:rsid w:val="004A28D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853AD"/>
    <w:rsid w:val="007A28D7"/>
    <w:rsid w:val="007A57D3"/>
    <w:rsid w:val="007B79AD"/>
    <w:rsid w:val="007E432B"/>
    <w:rsid w:val="007E455E"/>
    <w:rsid w:val="007E7C31"/>
    <w:rsid w:val="007F5BF7"/>
    <w:rsid w:val="00806A61"/>
    <w:rsid w:val="00811D43"/>
    <w:rsid w:val="008144BF"/>
    <w:rsid w:val="008173DB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410B9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275C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F444C"/>
    <w:rsid w:val="00CF6F09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67908"/>
    <w:rsid w:val="00E8392A"/>
    <w:rsid w:val="00E92D49"/>
    <w:rsid w:val="00EC4199"/>
    <w:rsid w:val="00ED13B0"/>
    <w:rsid w:val="00EE5E8A"/>
    <w:rsid w:val="00EF5C2E"/>
    <w:rsid w:val="00F17AB1"/>
    <w:rsid w:val="00F27E41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D535-AFEB-4E64-A2EE-F613F5E0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269</cp:revision>
  <cp:lastPrinted>2022-05-23T08:14:00Z</cp:lastPrinted>
  <dcterms:created xsi:type="dcterms:W3CDTF">2022-01-20T04:41:00Z</dcterms:created>
  <dcterms:modified xsi:type="dcterms:W3CDTF">2022-09-13T09:30:00Z</dcterms:modified>
</cp:coreProperties>
</file>