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84" w:rsidRDefault="008A5B84" w:rsidP="00A200DF">
      <w:pPr>
        <w:tabs>
          <w:tab w:val="left" w:pos="142"/>
        </w:tabs>
        <w:ind w:right="15"/>
        <w:jc w:val="center"/>
        <w:rPr>
          <w:rFonts w:eastAsia="Calibri"/>
          <w:b/>
          <w:iCs/>
        </w:rPr>
      </w:pPr>
      <w:bookmarkStart w:id="0" w:name="_GoBack"/>
      <w:bookmarkEnd w:id="0"/>
    </w:p>
    <w:p w:rsidR="00A200DF" w:rsidRDefault="00A200DF" w:rsidP="00A200DF">
      <w:pPr>
        <w:tabs>
          <w:tab w:val="left" w:pos="142"/>
        </w:tabs>
        <w:ind w:right="15"/>
        <w:jc w:val="center"/>
        <w:rPr>
          <w:rFonts w:eastAsia="Calibri"/>
          <w:b/>
          <w:iCs/>
          <w:lang w:eastAsia="ru-RU"/>
        </w:rPr>
      </w:pPr>
      <w:r>
        <w:rPr>
          <w:rFonts w:eastAsia="Calibri"/>
          <w:b/>
          <w:iCs/>
        </w:rPr>
        <w:t>Техническое задание</w:t>
      </w:r>
    </w:p>
    <w:p w:rsidR="00A200DF" w:rsidRDefault="00A200DF" w:rsidP="00A200DF">
      <w:pPr>
        <w:tabs>
          <w:tab w:val="left" w:pos="6237"/>
        </w:tabs>
        <w:snapToGrid w:val="0"/>
        <w:ind w:right="-284"/>
        <w:jc w:val="center"/>
        <w:rPr>
          <w:b/>
        </w:rPr>
      </w:pPr>
      <w:r>
        <w:rPr>
          <w:b/>
        </w:rPr>
        <w:t xml:space="preserve">на выполнение работ по изготовлению ортопедической обуви </w:t>
      </w:r>
    </w:p>
    <w:p w:rsidR="00A200DF" w:rsidRDefault="00A200DF" w:rsidP="00A200DF">
      <w:pPr>
        <w:tabs>
          <w:tab w:val="left" w:pos="6237"/>
        </w:tabs>
        <w:snapToGrid w:val="0"/>
        <w:ind w:right="-284"/>
        <w:jc w:val="center"/>
        <w:rPr>
          <w:b/>
        </w:rPr>
      </w:pPr>
      <w:r>
        <w:rPr>
          <w:b/>
        </w:rPr>
        <w:t>для инвалидов в 2022 году</w:t>
      </w:r>
    </w:p>
    <w:p w:rsidR="00A200DF" w:rsidRDefault="00A200DF" w:rsidP="00A200D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Исполнитель осуществит </w:t>
      </w:r>
      <w:r>
        <w:rPr>
          <w:rFonts w:eastAsia="Calibri"/>
          <w:sz w:val="22"/>
          <w:szCs w:val="22"/>
          <w:lang w:eastAsia="en-US"/>
        </w:rPr>
        <w:t xml:space="preserve">выполнение работ по изготовлению </w:t>
      </w:r>
      <w:r>
        <w:rPr>
          <w:rFonts w:eastAsia="Calibri"/>
          <w:bCs/>
          <w:sz w:val="22"/>
          <w:szCs w:val="22"/>
        </w:rPr>
        <w:t xml:space="preserve">сложной ортопедической обуви (далее – Изделие) для инвалидов (далее – Получатель) </w:t>
      </w:r>
      <w:r>
        <w:rPr>
          <w:rFonts w:eastAsia="Calibri"/>
          <w:sz w:val="22"/>
          <w:szCs w:val="22"/>
          <w:lang w:eastAsia="en-US"/>
        </w:rPr>
        <w:t xml:space="preserve">в 2022 году </w:t>
      </w:r>
      <w:r>
        <w:rPr>
          <w:sz w:val="22"/>
          <w:szCs w:val="22"/>
        </w:rPr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A200DF" w:rsidRDefault="00A200DF" w:rsidP="00A200DF">
      <w:pPr>
        <w:autoSpaceDE w:val="0"/>
        <w:autoSpaceDN w:val="0"/>
        <w:adjustRightInd w:val="0"/>
        <w:ind w:right="-284" w:firstLine="567"/>
        <w:jc w:val="both"/>
        <w:rPr>
          <w:rFonts w:eastAsia="Calibri"/>
          <w:b/>
          <w:sz w:val="22"/>
          <w:szCs w:val="22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4"/>
        <w:gridCol w:w="6090"/>
        <w:gridCol w:w="1133"/>
      </w:tblGrid>
      <w:tr w:rsidR="00A200DF" w:rsidTr="00A20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Наименование Изделия по классификации; модель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Характеристика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</w:t>
            </w:r>
          </w:p>
          <w:p w:rsidR="00A200DF" w:rsidRDefault="00A200DF">
            <w:pPr>
              <w:widowControl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Изделий</w:t>
            </w:r>
          </w:p>
          <w:p w:rsidR="00A200DF" w:rsidRDefault="00A200DF">
            <w:pPr>
              <w:widowControl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(пара)</w:t>
            </w:r>
          </w:p>
        </w:tc>
      </w:tr>
      <w:tr w:rsidR="00A200DF" w:rsidTr="00A20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Ортопедическая обувь сложная без утепленной подкладке (без учета детей –инвалидов)  (пара)</w:t>
            </w:r>
          </w:p>
          <w:p w:rsidR="00A200DF" w:rsidRDefault="00A200DF">
            <w:pPr>
              <w:widowControl w:val="0"/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(9-01-01)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</w:t>
            </w:r>
            <w:r>
              <w:rPr>
                <w:rFonts w:eastAsia="Arial"/>
                <w:lang w:eastAsia="en-US"/>
              </w:rPr>
              <w:t>, жесткие круговые или задние берцы, металлические шины, подошва и каблук особой формы,</w:t>
            </w:r>
            <w:r>
              <w:rPr>
                <w:lang w:eastAsia="en-US"/>
              </w:rPr>
              <w:t xml:space="preserve">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>
              <w:rPr>
                <w:rFonts w:eastAsia="Arial"/>
                <w:lang w:eastAsia="en-US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>
              <w:rPr>
                <w:lang w:eastAsia="en-US"/>
              </w:rPr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</w:t>
            </w:r>
          </w:p>
        </w:tc>
      </w:tr>
      <w:tr w:rsidR="00A200DF" w:rsidTr="00A20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Ортопедическая обувь сложная без утепленной подкладке для детей-инвалидов 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(9-01-01)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</w:t>
            </w:r>
            <w:r>
              <w:rPr>
                <w:rFonts w:eastAsia="Arial"/>
                <w:lang w:eastAsia="en-US"/>
              </w:rPr>
              <w:t>, жесткие круговые или задние берцы, металлические шины, подошва и каблук особой формы,</w:t>
            </w:r>
            <w:r>
              <w:rPr>
                <w:lang w:eastAsia="en-US"/>
              </w:rPr>
              <w:t xml:space="preserve">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>
              <w:rPr>
                <w:rFonts w:eastAsia="Arial"/>
                <w:lang w:eastAsia="en-US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>
              <w:rPr>
                <w:lang w:eastAsia="en-US"/>
              </w:rPr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A200DF" w:rsidTr="00A20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Ортопедическая обувь сложная на утепленной подкладке (без учета детей –инвалидов) 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(9-02-01)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не менее двух специальных деталей, таких как: жесткие задники</w:t>
            </w:r>
            <w:r>
              <w:rPr>
                <w:rFonts w:eastAsia="Arial"/>
                <w:lang w:eastAsia="en-US"/>
              </w:rPr>
              <w:t>, жесткие круговые или задние берцы, металлические шины, подошва и каблук особой формы,</w:t>
            </w:r>
            <w:r>
              <w:rPr>
                <w:lang w:eastAsia="en-US"/>
              </w:rPr>
              <w:t xml:space="preserve">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>
              <w:rPr>
                <w:rFonts w:eastAsia="Arial"/>
                <w:lang w:eastAsia="en-US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>
              <w:rPr>
                <w:lang w:eastAsia="en-US"/>
              </w:rPr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80</w:t>
            </w:r>
          </w:p>
        </w:tc>
      </w:tr>
      <w:tr w:rsidR="00A200DF" w:rsidTr="00A20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Ортопедическая обувь сложная на утепленной подкладке для детей –инвалидов(пара)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(9-02-01)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не менее двух специальных деталей, таких как: жесткие задники</w:t>
            </w:r>
            <w:r>
              <w:rPr>
                <w:rFonts w:eastAsia="Arial"/>
                <w:lang w:eastAsia="en-US"/>
              </w:rPr>
              <w:t xml:space="preserve">, жесткие круговые или задние берцы, металлические шины, </w:t>
            </w:r>
            <w:r>
              <w:rPr>
                <w:rFonts w:eastAsia="Arial"/>
                <w:lang w:eastAsia="en-US"/>
              </w:rPr>
              <w:lastRenderedPageBreak/>
              <w:t>подошва и каблук особой формы,</w:t>
            </w:r>
            <w:r>
              <w:rPr>
                <w:lang w:eastAsia="en-US"/>
              </w:rPr>
              <w:t xml:space="preserve">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>
              <w:rPr>
                <w:rFonts w:eastAsia="Arial"/>
                <w:lang w:eastAsia="en-US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>
              <w:rPr>
                <w:lang w:eastAsia="en-US"/>
              </w:rPr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150</w:t>
            </w:r>
          </w:p>
        </w:tc>
      </w:tr>
      <w:tr w:rsidR="00A200DF" w:rsidTr="00A200D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9-01-02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Изготавливается одновременно полупара обуви на сохраненную конечность и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29</w:t>
            </w:r>
          </w:p>
        </w:tc>
      </w:tr>
      <w:tr w:rsidR="00A200DF" w:rsidTr="00A200DF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Ортопедическая обувь сложная на сохраненную конечность и обувь на протез без утепленной подкладки инвалидам для детей –инвалидов(пара)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9-01-02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Изготавливается одновременно полупара обуви на сохраненную конечность и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9-02-02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Изготавливается одновременно полупара обуви на сохраненную конечность и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29</w:t>
            </w:r>
          </w:p>
        </w:tc>
      </w:tr>
      <w:tr w:rsidR="00A200DF" w:rsidTr="00A200DF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napToGrid w:val="0"/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4.</w:t>
            </w: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Ортопедическая обувь сложная на сохраненную конечность и обувь на протез на утепленной подкладке инвалидам для детей –инвалидов(пара)</w:t>
            </w:r>
          </w:p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9-02-02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Изготавливается одновременно полупара обуви на сохраненную конечность и </w:t>
            </w:r>
          </w:p>
          <w:p w:rsidR="00A200DF" w:rsidRDefault="00A200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pacing w:line="254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76"/>
        </w:trPr>
        <w:tc>
          <w:tcPr>
            <w:tcW w:w="8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DF" w:rsidRDefault="00A200DF">
            <w:pPr>
              <w:suppressAutoHyphens w:val="0"/>
              <w:rPr>
                <w:color w:val="000000"/>
                <w:lang w:val="en-US" w:eastAsia="en-US"/>
              </w:rPr>
            </w:pPr>
          </w:p>
        </w:tc>
      </w:tr>
      <w:tr w:rsidR="00A200DF" w:rsidTr="00A200DF">
        <w:trPr>
          <w:trHeight w:val="230"/>
        </w:trPr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tabs>
                <w:tab w:val="left" w:pos="0"/>
              </w:tabs>
              <w:snapToGrid w:val="0"/>
              <w:spacing w:line="254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DF" w:rsidRDefault="00A200DF">
            <w:pPr>
              <w:widowControl w:val="0"/>
              <w:spacing w:line="254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770</w:t>
            </w:r>
          </w:p>
        </w:tc>
      </w:tr>
    </w:tbl>
    <w:p w:rsidR="00A200DF" w:rsidRDefault="00A200DF" w:rsidP="00A200DF">
      <w:pPr>
        <w:ind w:firstLine="426"/>
        <w:jc w:val="both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</w:rPr>
        <w:t>1.2. Качественные характеристики объекта закупки.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1.2.1. При использовании Изделий по назначению не должно создаваться угрозы для жизни </w:t>
      </w:r>
      <w:r>
        <w:rPr>
          <w:color w:val="000000"/>
          <w:sz w:val="22"/>
          <w:szCs w:val="22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ГОСТ Р 54407-2020 «Обувь ортопедическая. Общие технические условия»;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ГОСТ Р 57761-2017 «Обувь ортопедическая. Термины и определения»;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ГОСТ Р 55638-2021 «Услуги по изготовлению ортопедической обуви. Требования безопасности».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Р 51632-2014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1.2.4. Изделия должны быть новыми Изделиями</w:t>
      </w:r>
      <w:r>
        <w:rPr>
          <w:rFonts w:eastAsia="Calibri"/>
          <w:color w:val="000000"/>
          <w:sz w:val="22"/>
          <w:szCs w:val="22"/>
        </w:rPr>
        <w:t>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1.2.5. Изделия должны быть свободными от прав третьих лиц.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</w:t>
      </w:r>
      <w:r>
        <w:rPr>
          <w:bCs/>
          <w:color w:val="000000"/>
          <w:sz w:val="22"/>
          <w:szCs w:val="22"/>
        </w:rPr>
        <w:t>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составлять: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 кожаной подошве – не менее 40 (сорока) дней;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 кожаной подошве с накладкой – не менее 50 (пятидесяти) дней;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 подошве из кожеподобной резины – не менее 60 (шестидесяти) дней;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 подошве из пористой резины, полиэфируретана, термоэластопласта – не менее 70 (семидесяти) дней.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Начало сезона должно определяться в соответствии с Законом «О защите прав потребителей».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 Исполнитель обязан: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2.1. Осуществлять</w:t>
      </w:r>
      <w:r>
        <w:rPr>
          <w:color w:val="000000"/>
          <w:sz w:val="22"/>
          <w:szCs w:val="22"/>
        </w:rPr>
        <w:t xml:space="preserve"> индивидуальное изготовление</w:t>
      </w:r>
      <w:r>
        <w:rPr>
          <w:rFonts w:eastAsia="Calibri"/>
          <w:color w:val="000000"/>
          <w:sz w:val="22"/>
          <w:szCs w:val="22"/>
        </w:rPr>
        <w:t xml:space="preserve"> Получателям Изделий.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</w:t>
      </w:r>
      <w:r>
        <w:rPr>
          <w:color w:val="000000"/>
          <w:sz w:val="22"/>
          <w:szCs w:val="22"/>
        </w:rPr>
        <w:lastRenderedPageBreak/>
        <w:t>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:rsidR="00A200DF" w:rsidRDefault="00A200DF" w:rsidP="00A200DF">
      <w:pPr>
        <w:autoSpaceDE w:val="0"/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  <w:color w:val="000000"/>
          <w:sz w:val="22"/>
          <w:szCs w:val="22"/>
        </w:rPr>
        <w:br/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A200DF" w:rsidRDefault="00A200DF" w:rsidP="00A200DF">
      <w:pPr>
        <w:widowControl w:val="0"/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>
        <w:rPr>
          <w:rFonts w:eastAsia="Calibri"/>
          <w:color w:val="000000"/>
          <w:sz w:val="22"/>
          <w:szCs w:val="22"/>
        </w:rPr>
        <w:t xml:space="preserve">пунктов) приема и гарантийного обслуживания, организованных Исполнителем на территории Республики Северная Осетия-Алания с момента заключения государственного контракта. </w:t>
      </w:r>
    </w:p>
    <w:p w:rsidR="00A200DF" w:rsidRDefault="00A200DF" w:rsidP="00A200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Количество пунктов приема </w:t>
      </w:r>
      <w:r>
        <w:rPr>
          <w:rFonts w:eastAsia="Calibri"/>
          <w:color w:val="000000"/>
          <w:sz w:val="22"/>
          <w:szCs w:val="22"/>
        </w:rPr>
        <w:t>на территории Республики Северная Осети</w:t>
      </w:r>
      <w:r>
        <w:rPr>
          <w:rFonts w:eastAsia="Calibri"/>
          <w:color w:val="000000"/>
          <w:sz w:val="22"/>
          <w:szCs w:val="22"/>
          <w:lang w:val="ru-RU"/>
        </w:rPr>
        <w:t>я</w:t>
      </w:r>
      <w:r>
        <w:rPr>
          <w:rFonts w:eastAsia="Calibri"/>
          <w:color w:val="000000"/>
          <w:sz w:val="22"/>
          <w:szCs w:val="22"/>
        </w:rPr>
        <w:t>-Алания</w:t>
      </w:r>
      <w:r>
        <w:rPr>
          <w:color w:val="000000"/>
          <w:sz w:val="22"/>
          <w:szCs w:val="22"/>
          <w:lang w:val="ru-RU" w:eastAsia="ru-RU"/>
        </w:rPr>
        <w:t xml:space="preserve"> – 2 </w:t>
      </w:r>
      <w:r>
        <w:rPr>
          <w:color w:val="000000"/>
          <w:sz w:val="22"/>
          <w:szCs w:val="22"/>
          <w:lang w:eastAsia="ru-RU"/>
        </w:rPr>
        <w:t>.</w:t>
      </w:r>
    </w:p>
    <w:p w:rsidR="00A200DF" w:rsidRDefault="00A200DF" w:rsidP="00A200DF">
      <w:pPr>
        <w:widowControl w:val="0"/>
        <w:ind w:firstLine="426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В пункте (пунктах) приема Получателям должны быть предоставлены образцы-эталоны или каталоги изделий, утвержденные медико-технической комиссией Исполнителя.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(протокола) медико-технической комиссии Исполнителя, утверждающего образцы-эталоны Изделий.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работе с Получателями обеспечить соблюдение рекомендаций и санитарно-эпидимиологических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санитарно-эпидимиологической обстановки, в том числе в период распространении новой коронавирусной инфекции (COVID-19).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  <w:r>
        <w:rPr>
          <w:color w:val="000000"/>
          <w:sz w:val="22"/>
          <w:szCs w:val="22"/>
        </w:rPr>
        <w:br/>
        <w:t>«О социальной защите инвалидов в Российской Федерации».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59.13330.2016 «Доступность зданий и сооружений для маломобильных групп населения» (далее – СП 59.13330.2016).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Входная группа</w:t>
      </w:r>
      <w:r>
        <w:rPr>
          <w:color w:val="000000"/>
          <w:sz w:val="22"/>
          <w:szCs w:val="22"/>
        </w:rPr>
        <w:t xml:space="preserve"> 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перепадах высот Исполнитель должен учитывать наличие следующих элементов: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Пандус с поручнями;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Лестница с поручнями;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Применение для Получателей вместо пандусов аппарелей не допускается на объекте </w:t>
      </w:r>
      <w:r>
        <w:rPr>
          <w:color w:val="000000"/>
          <w:sz w:val="22"/>
          <w:szCs w:val="22"/>
        </w:rPr>
        <w:br/>
        <w:t>(в соответствии с п. 6.1.2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Навес над входной площадкой;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целях обеспечения безопасности, площадка при входах, доступных для Получателей, должна иметь навес (в соответствии с п. 6.1.4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Противоскользящее покрытие; 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  <w:shd w:val="clear" w:color="auto" w:fill="FFFFFF"/>
        </w:rPr>
        <w:t>Поверхности покрытий входных площадок и тамбуров должны быть твердыми, не допускать скольжения при намокании (</w:t>
      </w:r>
      <w:r>
        <w:rPr>
          <w:color w:val="000000"/>
          <w:sz w:val="22"/>
          <w:szCs w:val="22"/>
        </w:rPr>
        <w:t xml:space="preserve">в соответствии с </w:t>
      </w:r>
      <w:r>
        <w:rPr>
          <w:color w:val="000000"/>
          <w:spacing w:val="2"/>
          <w:sz w:val="22"/>
          <w:szCs w:val="22"/>
          <w:shd w:val="clear" w:color="auto" w:fill="FFFFFF"/>
        </w:rPr>
        <w:t>п. 6.1.4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Тактильно-контрастные указатели;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59.13330.2016).</w:t>
      </w:r>
    </w:p>
    <w:p w:rsidR="00A200DF" w:rsidRDefault="00A200DF" w:rsidP="00A200DF">
      <w:pPr>
        <w:ind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Пути движения внутри пункта (пунктов) приема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перепадах высот Исполнитель должен учитывать наличие следующих элементов: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Лифт, подъемная платформа, эскалатор; </w:t>
      </w:r>
    </w:p>
    <w:p w:rsidR="00A200DF" w:rsidRDefault="00A200DF" w:rsidP="00A200DF">
      <w:pPr>
        <w:ind w:firstLine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(в соответствии с п. 6.2.13 – п. 6.2.18 СП 59.13330.2016).</w:t>
      </w:r>
      <w:r>
        <w:rPr>
          <w:b/>
          <w:color w:val="000000"/>
          <w:sz w:val="22"/>
          <w:szCs w:val="22"/>
        </w:rPr>
        <w:t xml:space="preserve"> 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Лифт должен иметь габариты не менее 1100х1400 мм (ширина х глубина).</w:t>
      </w:r>
    </w:p>
    <w:p w:rsidR="00A200DF" w:rsidRDefault="00A200DF" w:rsidP="00A200DF">
      <w:pPr>
        <w:ind w:firstLine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Лестницы необходимо обеспечить противоскользящими контрастными полосами общей шириной 0,08-0,1 м (в соответствии с п. 6.2.8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Необходимо обеспечить зону досягаемости для посетителей в кресле-коляске в пределах, установленных в соответствии с п. 8.1.7 СП.59.133330.2016.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59.13330.2016).</w:t>
      </w:r>
    </w:p>
    <w:p w:rsidR="00A200DF" w:rsidRDefault="00A200DF" w:rsidP="00A200DF">
      <w:pPr>
        <w:ind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Пути эвакуации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невозможности соблюдения положений части 15 статьи 89 </w:t>
      </w:r>
      <w:hyperlink r:id="rId5" w:history="1">
        <w:r>
          <w:rPr>
            <w:rStyle w:val="a3"/>
            <w:color w:val="000000"/>
            <w:sz w:val="22"/>
            <w:szCs w:val="22"/>
          </w:rPr>
          <w:t xml:space="preserve">Федерального закона </w:t>
        </w:r>
        <w:r>
          <w:rPr>
            <w:color w:val="000000"/>
            <w:sz w:val="22"/>
            <w:szCs w:val="22"/>
          </w:rPr>
          <w:br/>
        </w:r>
        <w:r>
          <w:rPr>
            <w:rStyle w:val="a3"/>
            <w:color w:val="000000"/>
            <w:sz w:val="22"/>
            <w:szCs w:val="22"/>
          </w:rPr>
          <w:t>от 22.07.2008 № 123-ФЗ «Технический регламент о требованиях пожарной безопасности</w:t>
        </w:r>
      </w:hyperlink>
      <w:r>
        <w:rPr>
          <w:color w:val="000000"/>
          <w:sz w:val="22"/>
          <w:szCs w:val="22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59.13330.2016.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Пути эвакуации помещений пункта (пунктов) приема должны обеспечивать безопасность посетителей (в соответствии с п.6.2.19-п.6.2.32 СП 59.13330.2016).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Обеспечить систему двухсторонней связи с диспетчером или дежурным (в соответствии </w:t>
      </w:r>
      <w:r>
        <w:rPr>
          <w:color w:val="000000"/>
          <w:sz w:val="22"/>
          <w:szCs w:val="22"/>
        </w:rPr>
        <w:br/>
        <w:t>с п. 6.5.8 СП 59.13330.2016).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</w:t>
      </w:r>
      <w:r>
        <w:rPr>
          <w:color w:val="000000"/>
          <w:sz w:val="22"/>
          <w:szCs w:val="22"/>
        </w:rPr>
        <w:lastRenderedPageBreak/>
        <w:t>свободным доступом Получателей. При чем не менее 1 (одной) оборудованной для посещения Получателями в соответствии с п. 6.3.3, 6.3.6, 6.3.9 СП 59.13330.2016).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</w:t>
      </w:r>
      <w:r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 xml:space="preserve">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возможность беспрепятственного входа в объекты и выхода из них;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200DF" w:rsidRDefault="00A200DF" w:rsidP="00A200DF">
      <w:pPr>
        <w:widowControl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6" w:anchor="block_1000" w:history="1">
        <w:r>
          <w:rPr>
            <w:rStyle w:val="a3"/>
            <w:color w:val="000000"/>
            <w:sz w:val="22"/>
            <w:szCs w:val="22"/>
          </w:rPr>
          <w:t>форме</w:t>
        </w:r>
      </w:hyperlink>
      <w:r>
        <w:rPr>
          <w:color w:val="000000"/>
          <w:sz w:val="22"/>
          <w:szCs w:val="22"/>
        </w:rPr>
        <w:t xml:space="preserve"> и в </w:t>
      </w:r>
      <w:hyperlink r:id="rId7" w:anchor="block_2000" w:history="1">
        <w:r>
          <w:rPr>
            <w:rStyle w:val="a3"/>
            <w:color w:val="000000"/>
            <w:sz w:val="22"/>
            <w:szCs w:val="22"/>
          </w:rPr>
          <w:t>порядке</w:t>
        </w:r>
      </w:hyperlink>
      <w:r>
        <w:rPr>
          <w:color w:val="000000"/>
          <w:sz w:val="22"/>
          <w:szCs w:val="22"/>
        </w:rPr>
        <w:t xml:space="preserve">, утвержденных </w:t>
      </w:r>
      <w:hyperlink r:id="rId8" w:history="1">
        <w:r>
          <w:rPr>
            <w:rStyle w:val="a3"/>
            <w:color w:val="000000"/>
            <w:sz w:val="22"/>
            <w:szCs w:val="22"/>
          </w:rPr>
          <w:t>приказом</w:t>
        </w:r>
      </w:hyperlink>
      <w:r>
        <w:rPr>
          <w:color w:val="000000"/>
          <w:sz w:val="22"/>
          <w:szCs w:val="22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A200DF" w:rsidRDefault="00A200DF" w:rsidP="00A200DF">
      <w:pPr>
        <w:autoSpaceDE w:val="0"/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2.7. </w:t>
      </w:r>
      <w:r>
        <w:rPr>
          <w:rFonts w:eastAsia="Calibri"/>
          <w:color w:val="000000"/>
          <w:sz w:val="22"/>
          <w:szCs w:val="22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A200DF" w:rsidRDefault="00A200DF" w:rsidP="00A200DF">
      <w:pPr>
        <w:ind w:firstLine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Вести аудиозапись телефонных разговоров с Получателями по вопросам получения Изделий.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_______________.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номер контактного телефона;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адрес электронной почты;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перечень операций, выполняемых соисполнителем в рамках государственного контракта;</w:t>
      </w:r>
    </w:p>
    <w:p w:rsidR="00A200DF" w:rsidRDefault="00A200DF" w:rsidP="00A200D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срок соисполнительства.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A200DF" w:rsidRDefault="00A200DF" w:rsidP="00A200D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9" w:history="1">
        <w:r>
          <w:rPr>
            <w:rStyle w:val="a3"/>
            <w:sz w:val="22"/>
            <w:szCs w:val="22"/>
          </w:rPr>
          <w:t>protezi@ro15.fss.ru</w:t>
        </w:r>
      </w:hyperlink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torg</w:t>
      </w:r>
      <w:r>
        <w:rPr>
          <w:color w:val="000000"/>
          <w:sz w:val="22"/>
          <w:szCs w:val="22"/>
        </w:rPr>
        <w:t xml:space="preserve">i@ro15.fss.ru. </w:t>
      </w:r>
    </w:p>
    <w:p w:rsidR="00A200DF" w:rsidRDefault="00A200DF" w:rsidP="00A200DF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 w:rsidR="00A200DF" w:rsidRDefault="00A200DF" w:rsidP="00A200DF">
      <w:pPr>
        <w:rPr>
          <w:bCs/>
          <w:color w:val="000000"/>
          <w:kern w:val="36"/>
          <w:sz w:val="22"/>
          <w:szCs w:val="22"/>
        </w:rPr>
      </w:pPr>
    </w:p>
    <w:p w:rsidR="00A200DF" w:rsidRDefault="00A200DF" w:rsidP="00A200DF">
      <w:pPr>
        <w:ind w:right="-284"/>
        <w:jc w:val="center"/>
        <w:rPr>
          <w:color w:val="000000"/>
        </w:rPr>
      </w:pPr>
    </w:p>
    <w:p w:rsidR="00B34F07" w:rsidRDefault="00B34F07"/>
    <w:sectPr w:rsidR="00B3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E"/>
    <w:rsid w:val="00190E39"/>
    <w:rsid w:val="005E59DE"/>
    <w:rsid w:val="008A5B84"/>
    <w:rsid w:val="00A200DF"/>
    <w:rsid w:val="00B34F07"/>
    <w:rsid w:val="00E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A73C-EF2D-4E35-B764-C24F518B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00DF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Bulletr List Paragraph Знак,Нумерованый список Знак,SL_Абзац списка Знак,lp1 Знак,GOST_TableList Знак"/>
    <w:link w:val="a5"/>
    <w:uiPriority w:val="34"/>
    <w:locked/>
    <w:rsid w:val="00A200DF"/>
    <w:rPr>
      <w:sz w:val="24"/>
      <w:szCs w:val="24"/>
      <w:lang w:val="x-none" w:eastAsia="x-none"/>
    </w:rPr>
  </w:style>
  <w:style w:type="paragraph" w:styleId="a5">
    <w:name w:val="List Paragraph"/>
    <w:aliases w:val="Bullet List,FooterText,numbered,Paragraphe de liste1,Bulletr List Paragraph,Нумерованый список,SL_Абзац списка,lp1,GOST_TableList"/>
    <w:basedOn w:val="a"/>
    <w:link w:val="a4"/>
    <w:uiPriority w:val="34"/>
    <w:qFormat/>
    <w:rsid w:val="00A200DF"/>
    <w:pPr>
      <w:suppressAutoHyphens w:val="0"/>
      <w:ind w:left="708"/>
    </w:pPr>
    <w:rPr>
      <w:rFonts w:asciiTheme="minorHAnsi" w:eastAsiaTheme="minorHAnsi" w:hAnsiTheme="minorHAnsi" w:cstheme="minorBid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45140/53f89421bbdaf741eb2d1ecc4ddb4c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426205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ezi@ro15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4625</Words>
  <Characters>26364</Characters>
  <Application>Microsoft Office Word</Application>
  <DocSecurity>0</DocSecurity>
  <Lines>219</Lines>
  <Paragraphs>61</Paragraphs>
  <ScaleCrop>false</ScaleCrop>
  <Company/>
  <LinksUpToDate>false</LinksUpToDate>
  <CharactersWithSpaces>30928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Виктория Фридриховна</dc:creator>
  <cp:keywords/>
  <dc:description/>
  <cp:lastModifiedBy>Цекова Елена Юрьевна</cp:lastModifiedBy>
  <cp:revision>8</cp:revision>
  <dcterms:created xsi:type="dcterms:W3CDTF">2022-09-07T10:41:00Z</dcterms:created>
  <dcterms:modified xsi:type="dcterms:W3CDTF">2022-09-13T10:50:00Z</dcterms:modified>
</cp:coreProperties>
</file>