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CC" w:rsidRPr="009B5318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53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9B5318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53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FC7DCC" w:rsidRPr="009B5318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7DCC" w:rsidRPr="009B5318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8237B3" w:rsidRPr="009B5318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Выполнение работ по обеспечению инвалидов и отдельных категорий граждан из числа ветеранов</w:t>
      </w:r>
    </w:p>
    <w:p w:rsidR="00FC7DCC" w:rsidRPr="009B5318" w:rsidRDefault="00FC7DCC" w:rsidP="00FC7D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 xml:space="preserve"> протезно-ортопедическими изделиями (</w:t>
      </w:r>
      <w:r w:rsidR="000E6FE5"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ar-SA"/>
        </w:rPr>
        <w:t xml:space="preserve">протезы </w:t>
      </w:r>
      <w:r w:rsidR="005E33B7"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ar-SA"/>
        </w:rPr>
        <w:t>верх</w:t>
      </w:r>
      <w:r w:rsidR="000E6FE5"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ar-SA"/>
        </w:rPr>
        <w:t>них конечностей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)</w:t>
      </w:r>
      <w:r w:rsidR="00EE2A9C"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 xml:space="preserve"> в 2023 году</w:t>
      </w:r>
    </w:p>
    <w:p w:rsidR="00866648" w:rsidRPr="009B5318" w:rsidRDefault="00866648" w:rsidP="00FC7DC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9B5318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и описание объекта закупки:</w:t>
      </w:r>
    </w:p>
    <w:p w:rsidR="00FC7DCC" w:rsidRPr="009B5318" w:rsidRDefault="000E6FE5" w:rsidP="00FC7D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 (</w:t>
      </w: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протезы </w:t>
      </w:r>
      <w:r w:rsidR="005E33B7"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верх</w:t>
      </w: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них конечностей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) (далее – протез, ПОИ)</w:t>
      </w:r>
      <w:r w:rsidR="00FC7DCC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9B5318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FC7DCC" w:rsidRPr="009B5318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осуществляется по цене за единицу работ, сформировавшейся по итогам аукциона (по каждой позиции)</w:t>
      </w:r>
      <w:r w:rsidR="00A9672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96725" w:rsidRPr="009B5318">
        <w:rPr>
          <w:color w:val="000000" w:themeColor="text1"/>
        </w:rPr>
        <w:t xml:space="preserve"> </w:t>
      </w:r>
      <w:r w:rsidR="00A9672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 объеме, не превышающем максимального значения цены Контракта</w:t>
      </w:r>
      <w:r w:rsidR="00EB5837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9B5318" w:rsidRDefault="00FC7DCC" w:rsidP="00FC7DC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 по обеспечению протезно-ортопедическими изделиями (</w:t>
      </w:r>
      <w:r w:rsidR="000E6FE5"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протезы </w:t>
      </w:r>
      <w:r w:rsid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верх</w:t>
      </w:r>
      <w:r w:rsidR="000E6FE5"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них конечностей</w:t>
      </w: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80"/>
        <w:gridCol w:w="1389"/>
        <w:gridCol w:w="2351"/>
        <w:gridCol w:w="10538"/>
      </w:tblGrid>
      <w:tr w:rsidR="009B5318" w:rsidRPr="009B5318" w:rsidTr="00EE2A9C">
        <w:trPr>
          <w:trHeight w:val="103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9B5318" w:rsidRDefault="000E6FE5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9B5318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 вида ПОИ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E5" w:rsidRPr="009B5318" w:rsidRDefault="000E6FE5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E5" w:rsidRPr="009B5318" w:rsidRDefault="000E6FE5" w:rsidP="00A9672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 показатели характеристик</w:t>
            </w:r>
          </w:p>
        </w:tc>
      </w:tr>
      <w:tr w:rsidR="009B5318" w:rsidRPr="009B5318" w:rsidTr="0016043C">
        <w:trPr>
          <w:trHeight w:val="1200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8-01-02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при частичной ампутации кисти косметический (кисть косметическая из силикона), в том числе протезы пальцев; модуль пальца косметический; крепление - подгоночное.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8-01-03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косметический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косметический.</w:t>
            </w:r>
          </w:p>
          <w:p w:rsidR="005E33B7" w:rsidRPr="009B5318" w:rsidRDefault="005E33B7" w:rsidP="005E3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Гильза индивидуальная составная из литьевого слоистого пластика на основе связующих смол или из листового термопласта в зависимости от индивидуальных особенностей Получателя. Управление протезом осуществляется сохранившейся рукой или противоупором в зависимости от индивидуальных особенностей Получателя. С несъемной формообразующей арматурой в пальцах косметической кисти, адаптером в запястье (адаптер кистевой поставляется в комплекте). Функция ротации реализована в составе модуля кисти, гильза индивидуальная, составная Крепление индивидуальное, подгоночное, специальное (подбирается в зависимости от индивидуальных особенностей Получателя).</w:t>
            </w:r>
            <w:r w:rsidRPr="009B53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Чехлы на культю хлопчатобумажные.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8-01-04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</w:t>
            </w:r>
          </w:p>
          <w:p w:rsidR="005E33B7" w:rsidRPr="009B5318" w:rsidRDefault="005E33B7" w:rsidP="005E33B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косметический.</w:t>
            </w:r>
          </w:p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протезом осуществляется сохранившейся рукой или противоупором в зависимости от индивидуальных особенностей Получателя. Материал для изготовления кисти – поливинилхлорид или силикон (подбирается в зависимости от индивидуальных особенностей Получателя). Узел локоть-предплечье эндоскелетного типа, пассивный с бесступенчатой фиксацией с пассивной ротацией плеча или предплечья в зависимости от индивидуальных особенностей Получателя.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9B53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Чехлы на культю хлопчатобумажные.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8-02-01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 кисти рабочий, в том числе при вычленении и частичном вычленении кисти с комплектом рабочих насадок. Без ротации, с цилиндрическим хвостовиком диаметром – 10 мм; гильза индивидуальная одинарная или составная в зависимости от индивидуальных особенностей Получателя, изготавливается из листового термопласта или литьевого слоистого пластика на основе связующих смол в зависимости от индивидуальных особенностей Получателя. Крепление индивидуальное, подгоночное (подбирается в зависимости от индивидуальных особенностей Получателя). </w:t>
            </w:r>
            <w:r w:rsidRPr="009B53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Чехлы на культю хлопчатобумажные.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8-02-02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рабочий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 предплечья рабочий с комплектом рабочих насадок. Протез предплечья рабочий с цилиндрическим хвостовиком диаметром 10мм. без ротации. Гильза индивидуальная из литьевого слоистого пластика на основе связующих смол, одинарная или составная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9B53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Чехлы на культю хлопчатобумажные.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8-02-03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рабочий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рабочий, с комплектом рабочих насадок. Управление протезом осуществляется сохранившейся рукой или противоупором в зависимости от индивидуальных особенностей Получателя. Узел локоть-предплечье экзоскелетного типа с бесступенчатой фиксацией и пассивной ротацией плеча. Гильза индивидуальная одинарная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 Чехлы на культю хлопчатобумажные.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8-03-01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активный (тяговый), в том числе при вычленении и частичном вычленении кисти</w:t>
            </w:r>
          </w:p>
          <w:p w:rsidR="009A26C4" w:rsidRPr="009B5318" w:rsidRDefault="009A26C4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активный (тяговый), в том числе при вычленении и частичном вычленении кисти, со сменной двухходовой кистью, которая закрывается с помощью тягового усилия – при дополнительном подтягивании усилие захвата увеличивается – фиксация осуществляется в любой позиции захвата (активно). При повторном воздействии тяги кисть разблокируется и самостоятельно раскрывается (двойная тяга). Гильза индивидуальная составная, из литьевого слоистого пластика на основе связующих смол или из листового термопласта в зависимости от индивидуальных особенностей Получателя;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  <w:tr w:rsidR="009B5318" w:rsidRPr="009B5318" w:rsidTr="00EE2A9C">
        <w:trPr>
          <w:trHeight w:val="60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8-03-02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активный (тяговый)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активный (тяговый).</w:t>
            </w:r>
          </w:p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сохранившейся рукой или противоупором в зависимости от индивидуальных особенностей Получателя. Кисть функционально-косметическая каркасная с пружинным схватом, с пассивной ротацией с бесступенчатой регулируемой тугоподвижностью с фиксацией блока IV-V пальцев. Гильза индивидуальная составная из литьевого слоистого пластика на основе связующих смол, изготовление по слепку. Крепление индивидуальное, подгоночное, специальное (подбирается в зависимости от индивидуальных особенностей Получателя). </w:t>
            </w:r>
            <w:r w:rsidRPr="009B531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Чехлы на культю хлопчатобумажные.</w:t>
            </w:r>
          </w:p>
        </w:tc>
      </w:tr>
      <w:tr w:rsidR="009B5318" w:rsidRPr="009B5318" w:rsidTr="0016043C">
        <w:trPr>
          <w:trHeight w:val="55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8-03-03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активный (тяговый)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7" w:rsidRPr="009B5318" w:rsidRDefault="005E33B7" w:rsidP="005E33B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активный (тяговый). Система управления: механическая (тяговая), с дополнительной фурнитурой. Кисть с жесткой тягой корпусная, с пружинным схватом и пассивным узлом ротации. Функция ротации реализована в составе модуля кисти. Оболочка косметическая: поливинилхлорид или пластизоль без покрытия. Гильза индивидуальная составная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  <w:tr w:rsidR="009B5318" w:rsidRPr="009B5318" w:rsidTr="0016043C">
        <w:trPr>
          <w:trHeight w:val="28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8-04-01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B7" w:rsidRPr="009B5318" w:rsidRDefault="005E33B7" w:rsidP="005E33B7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кисти с микропроцессорным управлением, в том числе при вычленении и частичном вычленении кисти, индивидуального изготовления, с изготовлением приемной гильзы по гипсовому негативу. Примерочная гильза из термопласта. Постоянная гильза из карбона с применением композитных материалов и литьевых смол с вкладышем из термопласта. Внутри приемной гильзы в проекции управляющих мышц, должны быть расположены два датчика миосигнала. Кисть с одной степенью свободы, пропорциональным контролем управления, интегрированным, овальным лучезапястным шарниром, пассивной ротацией. укомплектована аккумулятором и зарядным устройством. миотестером для проверки уровня миосигнала пациента. В комплект входят две косметические оболочки из силикона с подбором цветовой характеристики.  Крепление индивидуальное подгоночное.</w:t>
            </w:r>
          </w:p>
        </w:tc>
      </w:tr>
      <w:tr w:rsidR="009B5318" w:rsidRPr="009B5318" w:rsidTr="00EE2A9C">
        <w:trPr>
          <w:trHeight w:val="28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8-04-02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с микропроцессорным управлением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предплечья с микропроцессорным управлением.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осуществляется за счет формы индивидуальной гильзы, в зависимости от индивидуальных особенностей Получателя. Чехлы на культю хлопчатобумажные.</w:t>
            </w:r>
          </w:p>
        </w:tc>
      </w:tr>
      <w:tr w:rsidR="009B5318" w:rsidRPr="009B5318" w:rsidTr="00EE2A9C">
        <w:trPr>
          <w:trHeight w:val="28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8-04-03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плеча с микропроцессорным управлением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Протез плеча с </w:t>
            </w:r>
            <w:r w:rsidRPr="009B53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микропроцессорным управлением</w:t>
            </w: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Кисть биоэлектрическая, с возможностью управления кистью от двух электродов для Получателей, имеющих одну или две работоспособную группу мышц (в зависимости от индивидуальных особенностей Получателя). Полиамидный узел локоть-предплечье.</w:t>
            </w:r>
          </w:p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Функция ротации реализована в составе модуля кисти. Материал для оболочки – поливинилхлорид. Гильза индивидуальная составная из литьевого слоистого пластика на основе связующих смол в зависимости от индивидуальных особенностей Получателя. Крепление бандажом. Чехлы на культю хлопчатобумажный.</w:t>
            </w:r>
          </w:p>
        </w:tc>
      </w:tr>
      <w:tr w:rsidR="009B5318" w:rsidRPr="009B5318" w:rsidTr="00EE2A9C">
        <w:trPr>
          <w:trHeight w:val="28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8-05-02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B7" w:rsidRPr="009B5318" w:rsidRDefault="005E33B7" w:rsidP="005E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после вычленения плеча функционально-косметический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B7" w:rsidRPr="009B5318" w:rsidRDefault="005E33B7" w:rsidP="005E33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после вычленения плеча функционально-косметический Управление протезом осуществляется сохранившейся рукой или противоупором в зависимости от индивидуальных особенностей Получателя. Кисть косметическая силиконовая с нейлоновой армирующей сеткой. Узел локоть-предплечье экзоскелетного типа пассивный с бесступенчатой фиксацией с пассивной ротацией плеча или предплечья. Ротатор кистевой с адаптером для присоединения кистей косметических или тяговых, или каркасных. Гильза индивидуальная составная – геометрическая копия сохранившейся руки, из литьевого слоистого пластика на основе связующих смол. Крепление индивидуальное, подгоночное, специальное (подбирается в зависимости от индивидуальных особенностей Получателя).</w:t>
            </w:r>
          </w:p>
        </w:tc>
      </w:tr>
    </w:tbl>
    <w:p w:rsidR="00EB5837" w:rsidRPr="009B5318" w:rsidRDefault="00EB5837" w:rsidP="006A24B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определения объема выполняемой работы:</w:t>
      </w:r>
    </w:p>
    <w:p w:rsidR="00EB5837" w:rsidRPr="009B5318" w:rsidRDefault="00EB5837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, в объеме, не превышающем максимального значения цены Контракта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5837" w:rsidRPr="009B5318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выполнения работ:</w:t>
      </w:r>
    </w:p>
    <w:p w:rsidR="00D6517A" w:rsidRPr="009B5318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D6517A" w:rsidRPr="009B5318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 месту жительства (месту пребывания, фактического проживания) Получателя;</w:t>
      </w:r>
    </w:p>
    <w:p w:rsidR="00D6517A" w:rsidRPr="009B5318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B5837" w:rsidRPr="009B5318" w:rsidRDefault="00D6517A" w:rsidP="00D65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Пункты обеспечения Подрядчика должны быть оснащены видеокамерами.</w:t>
      </w:r>
    </w:p>
    <w:p w:rsidR="00EB5837" w:rsidRPr="009B5318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 выполнения работ:</w:t>
      </w:r>
    </w:p>
    <w:p w:rsidR="00FC7DCC" w:rsidRPr="009B5318" w:rsidRDefault="00D6517A" w:rsidP="00FD4D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</w:t>
      </w: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позднее 08 сентября 2023 года</w:t>
      </w:r>
      <w:r w:rsidR="00243272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, а в части гарантийных обязательств - до полного их исполнения</w:t>
      </w:r>
      <w:r w:rsidR="00EB5837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9B5318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Требования техническим и функциональным характеристикам работ:</w:t>
      </w:r>
    </w:p>
    <w:p w:rsidR="000E6FE5" w:rsidRPr="009B5318" w:rsidRDefault="00AA0B84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</w:t>
      </w:r>
      <w:r w:rsidR="000E6F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E6FE5" w:rsidRPr="009B5318" w:rsidRDefault="003541CC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Выполн</w:t>
      </w:r>
      <w:r w:rsidR="00AA0B84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ение работ по изготовлению ПОИ 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по инди</w:t>
      </w:r>
      <w:r w:rsidR="00D51FD4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видуальным размерам Получателя 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от </w:t>
      </w:r>
      <w:r w:rsidR="00BE6228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01.06.2021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6228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852 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«О лицензировании медицинской деятельности (за исключением указанной деятельности, осуществляемой медицинскими орга</w:t>
      </w:r>
      <w:r w:rsidR="00D51FD4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низациями и другими организация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ми, входящими в частную систему здравоохранения, на территории инновационного центра «СКОЛКОВО»)) у Исполнителя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</w:t>
      </w:r>
      <w:r w:rsidR="000E6F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конечности Получателя с помощью протезирования конечностей.</w:t>
      </w:r>
    </w:p>
    <w:p w:rsidR="000E6FE5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</w:t>
      </w:r>
      <w:r w:rsidR="000E6F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67BB0" w:rsidRPr="009B5318" w:rsidRDefault="00567BB0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0E6FE5" w:rsidRPr="009B5318" w:rsidRDefault="000E6FE5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материалы приёмных гильз, контактирующих с телом человека, должны удовлетворять требованиям биологической безопасности;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узлы протеза должны быть стойкими к воздействию физиологических растворов (пота);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функциональный узел протеза должен выполнять заданную функцию и иметь конструктивно-технологическую завершенность;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протез конечности должен восполнять форму и внешний вид отсутствующей её части;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ПОИ должно соответствовать индивидуальным размерам и виду имеющейся патологии Получателя;</w:t>
      </w:r>
    </w:p>
    <w:p w:rsidR="0054337C" w:rsidRPr="009B5318" w:rsidRDefault="00F54F17" w:rsidP="00F54F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ПОИ должно быть новым, свободным от прав третьих лиц</w:t>
      </w:r>
      <w:r w:rsidR="000E6F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9B5318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качеству работ:</w:t>
      </w:r>
    </w:p>
    <w:p w:rsidR="004C33E5" w:rsidRPr="009B5318" w:rsidRDefault="0054337C" w:rsidP="00CB0E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соответствовать требованиям</w:t>
      </w:r>
      <w:r w:rsidR="004C33E5" w:rsidRPr="009B5318">
        <w:rPr>
          <w:color w:val="000000" w:themeColor="text1"/>
        </w:rPr>
        <w:t xml:space="preserve"> </w:t>
      </w:r>
      <w:r w:rsidR="004C33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стандартов: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ГОСТ Р ИСО 22523-2007 «Протезы конечностей и ортезы наружные. Требования и методы испытаний»;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ГОСТ Р 50267.0-92 (МЭК 601-1-88) "Изделия медицинские электрические. Часть 1. Общие требования безопасности".</w:t>
      </w:r>
    </w:p>
    <w:p w:rsidR="0054337C" w:rsidRPr="009B5318" w:rsidRDefault="00F54F17" w:rsidP="00F54F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ГОСТ МЭК 60601-1-2010 "Изделия медицинские электрические. Часть 1. Общие требования безопасности с учетом основных функциональных характеристик"</w:t>
      </w:r>
      <w:r w:rsidR="00CB0EDD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9B5318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маркировке, упаковке, хранению и транспортировки:</w:t>
      </w:r>
    </w:p>
    <w:p w:rsidR="004C33E5" w:rsidRPr="009B5318" w:rsidRDefault="004C33E5" w:rsidP="004C3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Маркировка, упаковка, хранение и транспортировка ПОИ должны осуществляться в соответствии с требованиями ГОСТ Р ИСО 22523-2007 «Протезы конечностей и ортезы наружные. Требования и методы испытаний».</w:t>
      </w:r>
    </w:p>
    <w:p w:rsidR="004C33E5" w:rsidRPr="009B5318" w:rsidRDefault="004C33E5" w:rsidP="004C3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54337C" w:rsidRPr="009B5318" w:rsidRDefault="004C33E5" w:rsidP="004C33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Временная противокоррозионная защита и консервация ПОИ на период хранения и транспортировки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</w:t>
      </w:r>
      <w:r w:rsidR="0054337C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9B5318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результатам работ: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 ношении.</w:t>
      </w:r>
    </w:p>
    <w:p w:rsidR="00F54F17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FC7DCC" w:rsidRPr="009B5318" w:rsidRDefault="00F54F17" w:rsidP="00F5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обеспечению Получателя ПОИ должны быть выполнены с надлежащим качеством и в установленные сроки</w:t>
      </w:r>
      <w:r w:rsidR="004C33E5" w:rsidRPr="009B53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57BB5" w:rsidRPr="009B5318" w:rsidRDefault="00357BB5" w:rsidP="00357BB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3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предоставлению гарантии качества работ:</w:t>
      </w:r>
    </w:p>
    <w:p w:rsidR="004C33E5" w:rsidRPr="009B5318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Гарантийный срок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составлять, </w:t>
      </w:r>
      <w:r w:rsidR="00F54F17"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</w:t>
      </w:r>
      <w:r w:rsidR="00F54F17"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на протез косметический и протез с микропроцессорным управлением, </w:t>
      </w:r>
      <w:r w:rsidR="00F54F17"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="00F54F17"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на протез активный, рабочий, функционально-косметический</w:t>
      </w:r>
      <w:r w:rsidR="009A3EC4"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33E5" w:rsidRPr="009B5318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Получателя, бесплатно.</w:t>
      </w:r>
      <w:r w:rsidR="00E672AF"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Гарантия распространяется на все составляющие результата работ, за исключением составляющих, имеющих самостоятельные сроки пользования в соответствии с действующим законодательством.</w:t>
      </w:r>
    </w:p>
    <w:p w:rsidR="004C33E5" w:rsidRPr="009B5318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выполнения гарантийного ремонта со дня обращения Получателя не должен превышать </w:t>
      </w:r>
      <w:r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дней. Обеспечение возможности ремонта, устранения недостатков при выполнении работ по изготовлению ПОИ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4C33E5" w:rsidRPr="009B5318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Объём гарантийных обязательств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C33E5" w:rsidRPr="009B5318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C33E5" w:rsidRPr="009B5318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4C33E5" w:rsidRPr="009B5318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9B53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(трех) дней, с даты оформления заказ-наряда;</w:t>
      </w:r>
    </w:p>
    <w:p w:rsidR="004C33E5" w:rsidRPr="009B5318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9B53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консультирование по пользованию отремонтированным ПОИ производить одновременно с его выдачей.</w:t>
      </w:r>
    </w:p>
    <w:p w:rsidR="00FC7DCC" w:rsidRPr="009B5318" w:rsidRDefault="00FC7DC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9B5318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9B5318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7DCC" w:rsidRPr="009B5318" w:rsidSect="002C1C0F">
      <w:headerReference w:type="default" r:id="rId7"/>
      <w:pgSz w:w="16838" w:h="11906" w:orient="landscape"/>
      <w:pgMar w:top="1134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C7" w:rsidRDefault="00C937C7" w:rsidP="002C1C0F">
      <w:pPr>
        <w:spacing w:after="0" w:line="240" w:lineRule="auto"/>
      </w:pPr>
      <w:r>
        <w:separator/>
      </w:r>
    </w:p>
  </w:endnote>
  <w:endnote w:type="continuationSeparator" w:id="0">
    <w:p w:rsidR="00C937C7" w:rsidRDefault="00C937C7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C7" w:rsidRDefault="00C937C7" w:rsidP="002C1C0F">
      <w:pPr>
        <w:spacing w:after="0" w:line="240" w:lineRule="auto"/>
      </w:pPr>
      <w:r>
        <w:separator/>
      </w:r>
    </w:p>
  </w:footnote>
  <w:footnote w:type="continuationSeparator" w:id="0">
    <w:p w:rsidR="00C937C7" w:rsidRDefault="00C937C7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C0F" w:rsidRPr="002C1C0F" w:rsidRDefault="002C1C0F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9A26C4">
      <w:rPr>
        <w:rFonts w:ascii="Times New Roman" w:hAnsi="Times New Roman" w:cs="Times New Roman"/>
        <w:noProof/>
        <w:sz w:val="20"/>
        <w:szCs w:val="20"/>
      </w:rPr>
      <w:t>2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35DB9"/>
    <w:rsid w:val="00083374"/>
    <w:rsid w:val="000E6FE5"/>
    <w:rsid w:val="00134702"/>
    <w:rsid w:val="001665B5"/>
    <w:rsid w:val="00210A85"/>
    <w:rsid w:val="00243272"/>
    <w:rsid w:val="00251D76"/>
    <w:rsid w:val="002635AB"/>
    <w:rsid w:val="00270472"/>
    <w:rsid w:val="002C1C0F"/>
    <w:rsid w:val="002C42B7"/>
    <w:rsid w:val="002C75D2"/>
    <w:rsid w:val="003541CC"/>
    <w:rsid w:val="00357BB5"/>
    <w:rsid w:val="00403D80"/>
    <w:rsid w:val="00417EF1"/>
    <w:rsid w:val="004639FF"/>
    <w:rsid w:val="004C33E5"/>
    <w:rsid w:val="0054337C"/>
    <w:rsid w:val="00567BB0"/>
    <w:rsid w:val="005E33B7"/>
    <w:rsid w:val="006A24B3"/>
    <w:rsid w:val="006C7C6B"/>
    <w:rsid w:val="006D2CEE"/>
    <w:rsid w:val="006F21FA"/>
    <w:rsid w:val="007A5147"/>
    <w:rsid w:val="007B2096"/>
    <w:rsid w:val="007E129F"/>
    <w:rsid w:val="0081621D"/>
    <w:rsid w:val="008237B3"/>
    <w:rsid w:val="00865E59"/>
    <w:rsid w:val="00866648"/>
    <w:rsid w:val="00881252"/>
    <w:rsid w:val="008E19F6"/>
    <w:rsid w:val="00904E17"/>
    <w:rsid w:val="00963954"/>
    <w:rsid w:val="009A26C4"/>
    <w:rsid w:val="009A3EC4"/>
    <w:rsid w:val="009B5318"/>
    <w:rsid w:val="00A96725"/>
    <w:rsid w:val="00AA0B84"/>
    <w:rsid w:val="00AC7F94"/>
    <w:rsid w:val="00BE6228"/>
    <w:rsid w:val="00C937C7"/>
    <w:rsid w:val="00CB0EDD"/>
    <w:rsid w:val="00D51A9A"/>
    <w:rsid w:val="00D51FD4"/>
    <w:rsid w:val="00D6517A"/>
    <w:rsid w:val="00DA48D9"/>
    <w:rsid w:val="00DB62F7"/>
    <w:rsid w:val="00E54E2F"/>
    <w:rsid w:val="00E672AF"/>
    <w:rsid w:val="00EB5837"/>
    <w:rsid w:val="00EC294E"/>
    <w:rsid w:val="00ED4703"/>
    <w:rsid w:val="00EE2A9C"/>
    <w:rsid w:val="00F54F17"/>
    <w:rsid w:val="00FB3347"/>
    <w:rsid w:val="00FC7DCC"/>
    <w:rsid w:val="00FD4D3C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DCBD5-4601-4A18-B994-67623C0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Симонова Ольга Сергеевна</cp:lastModifiedBy>
  <cp:revision>303</cp:revision>
  <dcterms:created xsi:type="dcterms:W3CDTF">2022-05-27T04:04:00Z</dcterms:created>
  <dcterms:modified xsi:type="dcterms:W3CDTF">2022-10-17T05:26:00Z</dcterms:modified>
</cp:coreProperties>
</file>