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D4" w:rsidRPr="008017D8" w:rsidRDefault="000701D4" w:rsidP="000701D4">
      <w:pPr>
        <w:pStyle w:val="Standard"/>
        <w:jc w:val="right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>Приложение № 1 к Извещению</w:t>
      </w:r>
    </w:p>
    <w:p w:rsidR="00341DE0" w:rsidRPr="008017D8" w:rsidRDefault="00341DE0" w:rsidP="000701D4">
      <w:pPr>
        <w:pStyle w:val="Standard"/>
        <w:jc w:val="right"/>
        <w:rPr>
          <w:rFonts w:cs="Times New Roman"/>
          <w:sz w:val="20"/>
          <w:szCs w:val="20"/>
        </w:rPr>
      </w:pPr>
    </w:p>
    <w:p w:rsidR="000701D4" w:rsidRPr="008017D8" w:rsidRDefault="000701D4" w:rsidP="000701D4">
      <w:pPr>
        <w:pStyle w:val="Standard"/>
        <w:jc w:val="center"/>
        <w:rPr>
          <w:rFonts w:cs="Times New Roman"/>
          <w:b/>
          <w:sz w:val="20"/>
          <w:szCs w:val="20"/>
        </w:rPr>
      </w:pPr>
      <w:r w:rsidRPr="008017D8">
        <w:rPr>
          <w:rFonts w:cs="Times New Roman"/>
          <w:b/>
          <w:sz w:val="20"/>
          <w:szCs w:val="20"/>
        </w:rPr>
        <w:t>ОПИСАНИЕ ОБЪЕКТА ЗАКУПКИ</w:t>
      </w:r>
    </w:p>
    <w:p w:rsidR="000701D4" w:rsidRPr="008017D8" w:rsidRDefault="000701D4" w:rsidP="000701D4">
      <w:pPr>
        <w:pStyle w:val="Standard"/>
        <w:jc w:val="right"/>
        <w:rPr>
          <w:rFonts w:cs="Times New Roman"/>
          <w:sz w:val="20"/>
          <w:szCs w:val="20"/>
        </w:rPr>
      </w:pP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b/>
          <w:sz w:val="20"/>
          <w:szCs w:val="20"/>
          <w:lang w:eastAsia="ar-SA"/>
        </w:rPr>
      </w:pPr>
      <w:r w:rsidRPr="008017D8">
        <w:rPr>
          <w:rFonts w:cs="Times New Roman"/>
          <w:b/>
          <w:sz w:val="20"/>
          <w:szCs w:val="20"/>
          <w:lang w:eastAsia="ar-SA"/>
        </w:rPr>
        <w:t>Требования к качеству, техническим характеристикам работ, требования к их безопасности, требования к результатам работ и иные показатели, связанные с определением соответствия выполняемых работ потребностям государственного заказчика:</w:t>
      </w: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  <w:lang w:eastAsia="ar-SA"/>
        </w:rPr>
      </w:pP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eastAsia="Lucida Sans Unicode" w:cs="Times New Roman"/>
          <w:b/>
          <w:bCs/>
          <w:sz w:val="20"/>
          <w:szCs w:val="20"/>
        </w:rPr>
        <w:t xml:space="preserve">Общие технические характеристики </w:t>
      </w:r>
      <w:r w:rsidRPr="008017D8">
        <w:rPr>
          <w:rFonts w:eastAsia="Lucida Sans Unicode" w:cs="Times New Roman"/>
          <w:b/>
          <w:sz w:val="20"/>
          <w:szCs w:val="20"/>
        </w:rPr>
        <w:t>выполняемых работ:</w:t>
      </w: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>Протез нижних конечностей должен изготавливаться с учетом анатомических дефектов конечностей, индивидуально для пациента, при этом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0701D4" w:rsidRPr="00EB7D64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 xml:space="preserve">Материалы приемных гильз, контактирующих с телом человека, должны быть разрешены к применению Министерством здравоохранения и социального развития Российской Федерации и соответствовать ГОСТ ISO 10993-1-2021 «Изделия медицинские. Оценка биологического действия медицинских изделий. Часть 1. Оценка и исследования», ГОСТ </w:t>
      </w:r>
      <w:r w:rsidRPr="00EB7D64">
        <w:rPr>
          <w:rFonts w:cs="Times New Roman"/>
          <w:sz w:val="20"/>
          <w:szCs w:val="20"/>
        </w:rPr>
        <w:t>ISO 10993-5-20</w:t>
      </w:r>
      <w:r w:rsidR="00DD2044" w:rsidRPr="00EB7D64">
        <w:rPr>
          <w:rFonts w:cs="Times New Roman"/>
          <w:sz w:val="20"/>
          <w:szCs w:val="20"/>
        </w:rPr>
        <w:t>1</w:t>
      </w:r>
      <w:r w:rsidR="00E92026" w:rsidRPr="00EB7D64">
        <w:rPr>
          <w:rFonts w:cs="Times New Roman"/>
          <w:sz w:val="20"/>
          <w:szCs w:val="20"/>
        </w:rPr>
        <w:t>1</w:t>
      </w:r>
      <w:r w:rsidRPr="00EB7D64">
        <w:rPr>
          <w:rFonts w:cs="Times New Roman"/>
          <w:sz w:val="20"/>
          <w:szCs w:val="20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EB7D64">
        <w:rPr>
          <w:rFonts w:cs="Times New Roman"/>
          <w:sz w:val="20"/>
          <w:szCs w:val="20"/>
        </w:rPr>
        <w:t>цитоксичность</w:t>
      </w:r>
      <w:proofErr w:type="spellEnd"/>
      <w:r w:rsidRPr="00EB7D64">
        <w:rPr>
          <w:rFonts w:cs="Times New Roman"/>
          <w:sz w:val="20"/>
          <w:szCs w:val="20"/>
        </w:rPr>
        <w:t xml:space="preserve">: методы </w:t>
      </w:r>
      <w:r w:rsidRPr="00EB7D64">
        <w:rPr>
          <w:rFonts w:cs="Times New Roman"/>
          <w:sz w:val="20"/>
          <w:szCs w:val="20"/>
          <w:lang w:val="en-US"/>
        </w:rPr>
        <w:t>in</w:t>
      </w:r>
      <w:r w:rsidRPr="00EB7D64">
        <w:rPr>
          <w:rFonts w:cs="Times New Roman"/>
          <w:sz w:val="20"/>
          <w:szCs w:val="20"/>
        </w:rPr>
        <w:t xml:space="preserve"> </w:t>
      </w:r>
      <w:proofErr w:type="spellStart"/>
      <w:r w:rsidRPr="00EB7D64">
        <w:rPr>
          <w:rFonts w:cs="Times New Roman"/>
          <w:sz w:val="20"/>
          <w:szCs w:val="20"/>
          <w:lang w:val="en-US"/>
        </w:rPr>
        <w:t>virto</w:t>
      </w:r>
      <w:proofErr w:type="spellEnd"/>
      <w:r w:rsidRPr="00EB7D64">
        <w:rPr>
          <w:rFonts w:cs="Times New Roman"/>
          <w:sz w:val="20"/>
          <w:szCs w:val="20"/>
        </w:rPr>
        <w:t xml:space="preserve">», ГОСТ Р </w:t>
      </w:r>
      <w:r w:rsidRPr="00EB7D64">
        <w:rPr>
          <w:rFonts w:cs="Times New Roman"/>
          <w:sz w:val="20"/>
          <w:szCs w:val="20"/>
          <w:lang w:val="en-US"/>
        </w:rPr>
        <w:t>ISO</w:t>
      </w:r>
      <w:r w:rsidRPr="00EB7D64">
        <w:rPr>
          <w:rFonts w:cs="Times New Roman"/>
          <w:sz w:val="20"/>
          <w:szCs w:val="20"/>
        </w:rPr>
        <w:t xml:space="preserve"> 10993-10-20</w:t>
      </w:r>
      <w:r w:rsidR="00E92026" w:rsidRPr="00EB7D64">
        <w:rPr>
          <w:rFonts w:cs="Times New Roman"/>
          <w:sz w:val="20"/>
          <w:szCs w:val="20"/>
        </w:rPr>
        <w:t>1</w:t>
      </w:r>
      <w:r w:rsidRPr="00EB7D64">
        <w:rPr>
          <w:rFonts w:cs="Times New Roman"/>
          <w:sz w:val="20"/>
          <w:szCs w:val="20"/>
        </w:rPr>
        <w:t>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0701D4" w:rsidRPr="00EB7D64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  <w:r w:rsidRPr="00EB7D64">
        <w:rPr>
          <w:rFonts w:cs="Times New Roman"/>
          <w:sz w:val="20"/>
          <w:szCs w:val="20"/>
        </w:rPr>
        <w:t>Узел протеза должен быть стойкими к воздействию физиологических растворов (пота).</w:t>
      </w:r>
    </w:p>
    <w:p w:rsidR="000701D4" w:rsidRPr="00EB7D64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  <w:r w:rsidRPr="00EB7D64">
        <w:rPr>
          <w:rFonts w:cs="Times New Roman"/>
          <w:sz w:val="20"/>
          <w:szCs w:val="20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  <w:r w:rsidRPr="00EB7D64">
        <w:rPr>
          <w:rFonts w:cs="Times New Roman"/>
          <w:sz w:val="20"/>
          <w:szCs w:val="20"/>
        </w:rPr>
        <w:t>Протезы конечностей должны быть классифицированы в соответствии с требованиями Национального стандарта Российской Федерации ГОСТ Р ИСО 9999-2019 "Вспомогательные средства для людей с ограничениями жизнедеятельности. К</w:t>
      </w:r>
      <w:bookmarkStart w:id="0" w:name="_GoBack"/>
      <w:bookmarkEnd w:id="0"/>
      <w:r w:rsidRPr="00EB7D64">
        <w:rPr>
          <w:rFonts w:cs="Times New Roman"/>
          <w:sz w:val="20"/>
          <w:szCs w:val="20"/>
        </w:rPr>
        <w:t>лассификация и терминология",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а также соответствовать Государственному стандарту Россий</w:t>
      </w:r>
      <w:r w:rsidR="006E4CB8" w:rsidRPr="00EB7D64">
        <w:rPr>
          <w:rFonts w:cs="Times New Roman"/>
          <w:sz w:val="20"/>
          <w:szCs w:val="20"/>
        </w:rPr>
        <w:t>ской Федерации ГОС</w:t>
      </w:r>
      <w:r w:rsidR="00FB5A91" w:rsidRPr="00EB7D64">
        <w:rPr>
          <w:rFonts w:cs="Times New Roman"/>
          <w:sz w:val="20"/>
          <w:szCs w:val="20"/>
        </w:rPr>
        <w:t xml:space="preserve">Т </w:t>
      </w:r>
      <w:r w:rsidR="00DD2044" w:rsidRPr="00EB7D64">
        <w:rPr>
          <w:rFonts w:cs="Times New Roman"/>
          <w:sz w:val="20"/>
          <w:szCs w:val="20"/>
        </w:rPr>
        <w:t>Р 51819-2022</w:t>
      </w:r>
      <w:r w:rsidRPr="00EB7D64">
        <w:rPr>
          <w:rFonts w:cs="Times New Roman"/>
          <w:sz w:val="20"/>
          <w:szCs w:val="20"/>
        </w:rPr>
        <w:t xml:space="preserve"> «Протезирование и </w:t>
      </w:r>
      <w:proofErr w:type="spellStart"/>
      <w:r w:rsidRPr="00EB7D64">
        <w:rPr>
          <w:rFonts w:cs="Times New Roman"/>
          <w:sz w:val="20"/>
          <w:szCs w:val="20"/>
        </w:rPr>
        <w:t>ортезирование</w:t>
      </w:r>
      <w:proofErr w:type="spellEnd"/>
      <w:r w:rsidRPr="00EB7D64">
        <w:rPr>
          <w:rFonts w:cs="Times New Roman"/>
          <w:sz w:val="20"/>
          <w:szCs w:val="20"/>
        </w:rPr>
        <w:t xml:space="preserve"> верхних и нижних конечностей. Термины и определения», Национальному стандарту РФ</w:t>
      </w:r>
      <w:r w:rsidRPr="008017D8">
        <w:rPr>
          <w:rFonts w:cs="Times New Roman"/>
          <w:sz w:val="20"/>
          <w:szCs w:val="20"/>
        </w:rPr>
        <w:t xml:space="preserve"> ГОСТ Р ИСО 22523-2007 «Протезы конечностей и </w:t>
      </w:r>
      <w:proofErr w:type="spellStart"/>
      <w:r w:rsidRPr="008017D8">
        <w:rPr>
          <w:rFonts w:cs="Times New Roman"/>
          <w:sz w:val="20"/>
          <w:szCs w:val="20"/>
        </w:rPr>
        <w:t>ортезы</w:t>
      </w:r>
      <w:proofErr w:type="spellEnd"/>
      <w:r w:rsidRPr="008017D8">
        <w:rPr>
          <w:rFonts w:cs="Times New Roman"/>
          <w:sz w:val="20"/>
          <w:szCs w:val="20"/>
        </w:rPr>
        <w:t xml:space="preserve"> наружные. Требования и методы испытаний»,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827"/>
        <w:gridCol w:w="5387"/>
        <w:gridCol w:w="992"/>
      </w:tblGrid>
      <w:tr w:rsidR="000701D4" w:rsidRPr="008017D8" w:rsidTr="00893B4E">
        <w:trPr>
          <w:trHeight w:val="945"/>
        </w:trPr>
        <w:tc>
          <w:tcPr>
            <w:tcW w:w="549" w:type="dxa"/>
            <w:shd w:val="clear" w:color="auto" w:fill="auto"/>
          </w:tcPr>
          <w:p w:rsidR="000701D4" w:rsidRPr="008017D8" w:rsidRDefault="000701D4" w:rsidP="00893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17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                п/п</w:t>
            </w:r>
          </w:p>
        </w:tc>
        <w:tc>
          <w:tcPr>
            <w:tcW w:w="1827" w:type="dxa"/>
            <w:shd w:val="clear" w:color="auto" w:fill="auto"/>
          </w:tcPr>
          <w:p w:rsidR="000701D4" w:rsidRPr="008017D8" w:rsidRDefault="000701D4" w:rsidP="00893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17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1D4" w:rsidRPr="008017D8" w:rsidRDefault="000701D4" w:rsidP="00893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17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Описание протезно-ортопедического изделия по функциональной классификации </w:t>
            </w:r>
          </w:p>
        </w:tc>
        <w:tc>
          <w:tcPr>
            <w:tcW w:w="992" w:type="dxa"/>
          </w:tcPr>
          <w:p w:rsidR="000701D4" w:rsidRPr="008017D8" w:rsidRDefault="000701D4" w:rsidP="00893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7D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шт.</w:t>
            </w:r>
          </w:p>
        </w:tc>
      </w:tr>
      <w:tr w:rsidR="000701D4" w:rsidRPr="008017D8" w:rsidTr="00893B4E">
        <w:trPr>
          <w:trHeight w:val="945"/>
        </w:trPr>
        <w:tc>
          <w:tcPr>
            <w:tcW w:w="549" w:type="dxa"/>
            <w:shd w:val="clear" w:color="auto" w:fill="auto"/>
          </w:tcPr>
          <w:p w:rsidR="000701D4" w:rsidRPr="008017D8" w:rsidRDefault="000701D4" w:rsidP="00893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17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0701D4" w:rsidRPr="008017D8" w:rsidRDefault="000701D4" w:rsidP="00893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17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Протез бедра модульный с микропроцессорным управлением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1D4" w:rsidRPr="008017D8" w:rsidRDefault="000701D4" w:rsidP="00893B4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8">
              <w:rPr>
                <w:rFonts w:ascii="Times New Roman" w:hAnsi="Times New Roman" w:cs="Times New Roman"/>
                <w:sz w:val="20"/>
                <w:szCs w:val="20"/>
              </w:rPr>
              <w:t xml:space="preserve"> Протез бедра модульный с микропроцессорным управлением, для пациентов со средней и высокой активностью с одной пробной диагностической гильзой индивидуального изготовления из термопластичного материала. Постоянная силовая гильза протеза изготавливается из слоистого пластика на основе акриловых смол с усилением мест нагрузки угле – и стекловолоконным наполнением. Крепление протеза при помощи полимерного чехла с использованием замкового устройства для полимерных чехлов. Адаптер для юстировки сдвиговой и с круговой ротацией. Коленный модуль с </w:t>
            </w:r>
            <w:proofErr w:type="spellStart"/>
            <w:r w:rsidRPr="008017D8">
              <w:rPr>
                <w:rFonts w:ascii="Times New Roman" w:hAnsi="Times New Roman" w:cs="Times New Roman"/>
                <w:sz w:val="20"/>
                <w:szCs w:val="20"/>
              </w:rPr>
              <w:t>самопрограммирующейся</w:t>
            </w:r>
            <w:proofErr w:type="spellEnd"/>
            <w:r w:rsidRPr="008017D8">
              <w:rPr>
                <w:rFonts w:ascii="Times New Roman" w:hAnsi="Times New Roman" w:cs="Times New Roman"/>
                <w:sz w:val="20"/>
                <w:szCs w:val="20"/>
              </w:rPr>
              <w:t xml:space="preserve"> и самообучающейся интеллектуальной электронной системой управления, обеспечивающей устойчивость и режим автоматической настройки темпа ходьбы. Конструкция узла состоит из двух цилиндров на одном штоке: гидравлический, отвечающий за устойчивость и пневматический, отвечающий за прогрессивное управление темпом ходьбы. Микропроцессорное управление фазами опоры и переноса. Функция замка коленного модуля активизируется в неподвижном положении. Два пользовательских режима: режим катания на велосипеде, режим принудительного замка в неподвижном положении при любом угле сгибания вплоть до 45 градусов, также режим предотвращения спотыкания – </w:t>
            </w:r>
            <w:r w:rsidRPr="008017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безопасной ходьбы. Применяется поворотное устройство. Стопа с гидроцилиндром с плавной регулировкой жесткости движения </w:t>
            </w:r>
            <w:proofErr w:type="spellStart"/>
            <w:r w:rsidRPr="008017D8">
              <w:rPr>
                <w:rFonts w:ascii="Times New Roman" w:hAnsi="Times New Roman" w:cs="Times New Roman"/>
                <w:sz w:val="20"/>
                <w:szCs w:val="20"/>
              </w:rPr>
              <w:t>плантарной</w:t>
            </w:r>
            <w:proofErr w:type="spellEnd"/>
            <w:r w:rsidRPr="008017D8">
              <w:rPr>
                <w:rFonts w:ascii="Times New Roman" w:hAnsi="Times New Roman" w:cs="Times New Roman"/>
                <w:sz w:val="20"/>
                <w:szCs w:val="20"/>
              </w:rPr>
              <w:t xml:space="preserve"> и дорсальной флексии, для обеспечения плавности переката пятка-носок и </w:t>
            </w:r>
            <w:proofErr w:type="spellStart"/>
            <w:r w:rsidRPr="008017D8">
              <w:rPr>
                <w:rFonts w:ascii="Times New Roman" w:hAnsi="Times New Roman" w:cs="Times New Roman"/>
                <w:sz w:val="20"/>
                <w:szCs w:val="20"/>
              </w:rPr>
              <w:t>припластывания</w:t>
            </w:r>
            <w:proofErr w:type="spellEnd"/>
            <w:r w:rsidRPr="008017D8">
              <w:rPr>
                <w:rFonts w:ascii="Times New Roman" w:hAnsi="Times New Roman" w:cs="Times New Roman"/>
                <w:sz w:val="20"/>
                <w:szCs w:val="20"/>
              </w:rPr>
              <w:t xml:space="preserve"> переднего отдела стопы к опорной поверхности при </w:t>
            </w:r>
            <w:proofErr w:type="spellStart"/>
            <w:r w:rsidRPr="008017D8">
              <w:rPr>
                <w:rFonts w:ascii="Times New Roman" w:hAnsi="Times New Roman" w:cs="Times New Roman"/>
                <w:sz w:val="20"/>
                <w:szCs w:val="20"/>
              </w:rPr>
              <w:t>наступании</w:t>
            </w:r>
            <w:proofErr w:type="spellEnd"/>
            <w:r w:rsidRPr="008017D8">
              <w:rPr>
                <w:rFonts w:ascii="Times New Roman" w:hAnsi="Times New Roman" w:cs="Times New Roman"/>
                <w:sz w:val="20"/>
                <w:szCs w:val="20"/>
              </w:rPr>
              <w:t xml:space="preserve"> на пятку. Карбоновые пластины мыска и пятки, разнесенные через шасси стопы, обеспечивают энергосбережение, размещены в кевларовый носок. Жесткость пластин подбирается из 8-ми, под конкретный вес и динамику пациента. Стопа имеет формообразующую оболочку телесного цвета с раздельным первым пальцем. Косметическое покрытие из вспененного полиуретана повышенной плотности телесного цвета и трикотажный чулок телесного оттенка с резинкой.</w:t>
            </w:r>
          </w:p>
        </w:tc>
        <w:tc>
          <w:tcPr>
            <w:tcW w:w="992" w:type="dxa"/>
          </w:tcPr>
          <w:p w:rsidR="000701D4" w:rsidRPr="008017D8" w:rsidRDefault="000701D4" w:rsidP="00893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7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</w:tbl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b/>
          <w:sz w:val="20"/>
          <w:szCs w:val="20"/>
          <w:lang w:eastAsia="ar-SA"/>
        </w:rPr>
      </w:pPr>
      <w:r w:rsidRPr="008017D8">
        <w:rPr>
          <w:rFonts w:cs="Times New Roman"/>
          <w:b/>
          <w:sz w:val="20"/>
          <w:szCs w:val="20"/>
          <w:lang w:eastAsia="ar-SA"/>
        </w:rPr>
        <w:t>Требования к техническим и функциональным характеристикам работ:</w:t>
      </w: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eastAsia="Arial" w:cs="Times New Roman"/>
          <w:sz w:val="20"/>
          <w:szCs w:val="20"/>
          <w:lang w:eastAsia="ar-SA"/>
        </w:rPr>
      </w:pPr>
      <w:r w:rsidRPr="008017D8">
        <w:rPr>
          <w:rFonts w:eastAsia="Arial" w:cs="Times New Roman"/>
          <w:sz w:val="20"/>
          <w:szCs w:val="20"/>
          <w:lang w:eastAsia="ar-SA"/>
        </w:rPr>
        <w:t>С учетом уровня ампутации и модулирования, применяемого в протезировании:</w:t>
      </w: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>- приемная гильза протеза конечности</w:t>
      </w:r>
      <w:r w:rsidRPr="008017D8">
        <w:rPr>
          <w:rFonts w:cs="Times New Roman"/>
          <w:b/>
          <w:sz w:val="20"/>
          <w:szCs w:val="20"/>
        </w:rPr>
        <w:t xml:space="preserve"> </w:t>
      </w:r>
      <w:r w:rsidRPr="008017D8">
        <w:rPr>
          <w:rFonts w:cs="Times New Roman"/>
          <w:sz w:val="20"/>
          <w:szCs w:val="20"/>
        </w:rPr>
        <w:t>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0701D4" w:rsidRPr="008017D8" w:rsidRDefault="000701D4" w:rsidP="000701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17D8">
        <w:rPr>
          <w:rFonts w:ascii="Times New Roman" w:hAnsi="Times New Roman" w:cs="Times New Roman"/>
        </w:rPr>
        <w:t xml:space="preserve">- функциональный узел протеза конечности должен выполнять заданную функцию и иметь конструктивно-технологическую завершенность. Узлы должны быть </w:t>
      </w:r>
      <w:proofErr w:type="spellStart"/>
      <w:r w:rsidRPr="008017D8">
        <w:rPr>
          <w:rFonts w:ascii="Times New Roman" w:hAnsi="Times New Roman" w:cs="Times New Roman"/>
        </w:rPr>
        <w:t>ремонтопригодными</w:t>
      </w:r>
      <w:proofErr w:type="spellEnd"/>
      <w:r w:rsidRPr="008017D8">
        <w:rPr>
          <w:rFonts w:ascii="Times New Roman" w:hAnsi="Times New Roman" w:cs="Times New Roman"/>
        </w:rPr>
        <w:t xml:space="preserve"> или работоспособными в течение срока службы.</w:t>
      </w: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b/>
          <w:sz w:val="20"/>
          <w:szCs w:val="20"/>
          <w:lang w:eastAsia="ar-SA"/>
        </w:rPr>
      </w:pPr>
      <w:r w:rsidRPr="008017D8">
        <w:rPr>
          <w:rFonts w:cs="Times New Roman"/>
          <w:b/>
          <w:sz w:val="20"/>
          <w:szCs w:val="20"/>
          <w:lang w:eastAsia="ar-SA"/>
        </w:rPr>
        <w:t>Требования к безопасности работ:</w:t>
      </w:r>
    </w:p>
    <w:p w:rsidR="000701D4" w:rsidRPr="008017D8" w:rsidRDefault="000701D4" w:rsidP="000701D4">
      <w:pPr>
        <w:pStyle w:val="Standard"/>
        <w:spacing w:line="228" w:lineRule="auto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>Выполняемые работы по изготовлению протезов должны соответствовать установленным ГОСТам, ТУ и иным документам, принятым для данных видов работ и изделий.</w:t>
      </w:r>
    </w:p>
    <w:p w:rsidR="000701D4" w:rsidRPr="008017D8" w:rsidRDefault="000701D4" w:rsidP="000701D4">
      <w:pPr>
        <w:pStyle w:val="Standard"/>
        <w:ind w:firstLine="851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>При готовности приступить к выполнению работ по изготовлению протезов,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0701D4" w:rsidRPr="008017D8" w:rsidRDefault="000701D4" w:rsidP="000701D4">
      <w:pPr>
        <w:pStyle w:val="Standard"/>
        <w:ind w:firstLine="709"/>
        <w:rPr>
          <w:rFonts w:cs="Times New Roman"/>
          <w:b/>
          <w:sz w:val="20"/>
          <w:szCs w:val="20"/>
          <w:lang w:eastAsia="ar-SA"/>
        </w:rPr>
      </w:pPr>
      <w:r w:rsidRPr="008017D8">
        <w:rPr>
          <w:rFonts w:cs="Times New Roman"/>
          <w:b/>
          <w:sz w:val="20"/>
          <w:szCs w:val="20"/>
          <w:lang w:eastAsia="ar-SA"/>
        </w:rPr>
        <w:t>Требования к результатам работ:</w:t>
      </w:r>
    </w:p>
    <w:p w:rsidR="000701D4" w:rsidRPr="008017D8" w:rsidRDefault="000701D4" w:rsidP="000701D4">
      <w:pPr>
        <w:pStyle w:val="Standard"/>
        <w:keepNext/>
        <w:ind w:firstLine="709"/>
        <w:jc w:val="both"/>
        <w:rPr>
          <w:rFonts w:cs="Times New Roman"/>
          <w:sz w:val="20"/>
          <w:szCs w:val="20"/>
          <w:lang w:eastAsia="ar-SA"/>
        </w:rPr>
      </w:pPr>
      <w:r w:rsidRPr="008017D8">
        <w:rPr>
          <w:rFonts w:cs="Times New Roman"/>
          <w:sz w:val="20"/>
          <w:szCs w:val="20"/>
          <w:lang w:eastAsia="ar-SA"/>
        </w:rPr>
        <w:t>Работы по обеспечению инвалидов протезами следует считать эффективно исполненными, если у инвалидов восстановлены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должны быть выполнены с надлежащим качеством и в установленные сроки.</w:t>
      </w:r>
    </w:p>
    <w:p w:rsidR="000701D4" w:rsidRPr="008017D8" w:rsidRDefault="000701D4" w:rsidP="000701D4">
      <w:pPr>
        <w:pStyle w:val="Standard"/>
        <w:keepNext/>
        <w:ind w:firstLine="709"/>
        <w:rPr>
          <w:rFonts w:cs="Times New Roman"/>
          <w:b/>
          <w:sz w:val="20"/>
          <w:szCs w:val="20"/>
          <w:lang w:eastAsia="ar-SA"/>
        </w:rPr>
      </w:pPr>
      <w:r w:rsidRPr="008017D8">
        <w:rPr>
          <w:rFonts w:cs="Times New Roman"/>
          <w:b/>
          <w:sz w:val="20"/>
          <w:szCs w:val="20"/>
          <w:lang w:eastAsia="ar-SA"/>
        </w:rPr>
        <w:t>Требования к упаковке, маркировке и транспортировке изделий, являющихся результатом работ:</w:t>
      </w: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>Упаковка протезов должна обеспечивать защиту от повреждений, порчи или загрязнения во время хранения и транспортировки к месту хранения или использования по назначению.</w:t>
      </w: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</w:rPr>
        <w:t>Требования к маркировке, упаковке, транспортированию и хранению изделий по ГОСТ 20790/ГОСТ 59444, ГОСТ 30324.0/ГОСТ Р 50267.0 и ГОСТ 51632-2021.</w:t>
      </w: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8017D8">
        <w:rPr>
          <w:rFonts w:cs="Times New Roman"/>
          <w:b/>
          <w:sz w:val="20"/>
          <w:szCs w:val="20"/>
        </w:rPr>
        <w:t>Требования к гарантийному сроку и (или) объему предоставления гарантий качества работ:</w:t>
      </w: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eastAsia="StarSymbol" w:cs="Times New Roman"/>
          <w:spacing w:val="-2"/>
          <w:sz w:val="20"/>
          <w:szCs w:val="20"/>
        </w:rPr>
        <w:t>Гарантийный срок устанавливается со дня выдачи готового изделия и его продолжительность по каждому конкретному виду изделия должна соответствовать требованиям ГОСТа или ТУ и составляет не менее 7</w:t>
      </w:r>
      <w:r w:rsidRPr="008017D8">
        <w:rPr>
          <w:rStyle w:val="T41"/>
          <w:rFonts w:cs="Times New Roman"/>
          <w:sz w:val="20"/>
          <w:szCs w:val="20"/>
        </w:rPr>
        <w:t xml:space="preserve"> месяцев</w:t>
      </w:r>
      <w:r w:rsidRPr="008017D8">
        <w:rPr>
          <w:rFonts w:eastAsia="StarSymbol" w:cs="Times New Roman"/>
          <w:spacing w:val="-2"/>
          <w:sz w:val="20"/>
          <w:szCs w:val="20"/>
        </w:rPr>
        <w:t>.</w:t>
      </w:r>
    </w:p>
    <w:p w:rsidR="000701D4" w:rsidRPr="008017D8" w:rsidRDefault="000701D4" w:rsidP="000701D4">
      <w:pPr>
        <w:pStyle w:val="Standard"/>
        <w:ind w:firstLine="709"/>
        <w:jc w:val="both"/>
        <w:rPr>
          <w:rFonts w:eastAsia="Lucida Sans Unicode" w:cs="Times New Roman"/>
          <w:sz w:val="20"/>
          <w:szCs w:val="20"/>
        </w:rPr>
      </w:pPr>
      <w:r w:rsidRPr="008017D8">
        <w:rPr>
          <w:rFonts w:eastAsia="Lucida Sans Unicode" w:cs="Times New Roman"/>
          <w:sz w:val="20"/>
          <w:szCs w:val="20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0701D4" w:rsidRPr="008017D8" w:rsidRDefault="000701D4" w:rsidP="000701D4">
      <w:pPr>
        <w:pStyle w:val="Standard"/>
        <w:ind w:firstLine="709"/>
        <w:jc w:val="both"/>
        <w:rPr>
          <w:rFonts w:eastAsia="Lucida Sans Unicode" w:cs="Times New Roman"/>
          <w:sz w:val="20"/>
          <w:szCs w:val="20"/>
        </w:rPr>
      </w:pPr>
    </w:p>
    <w:p w:rsidR="000701D4" w:rsidRPr="008017D8" w:rsidRDefault="000701D4" w:rsidP="000701D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17D8">
        <w:rPr>
          <w:rFonts w:ascii="Times New Roman" w:hAnsi="Times New Roman" w:cs="Times New Roman"/>
          <w:color w:val="000000"/>
          <w:sz w:val="20"/>
          <w:szCs w:val="20"/>
          <w:u w:val="single"/>
        </w:rPr>
        <w:t>Начать выполнение работ</w:t>
      </w:r>
      <w:r w:rsidRPr="008017D8">
        <w:rPr>
          <w:rFonts w:ascii="Times New Roman" w:hAnsi="Times New Roman" w:cs="Times New Roman"/>
          <w:color w:val="000000"/>
          <w:sz w:val="20"/>
          <w:szCs w:val="20"/>
        </w:rPr>
        <w:t xml:space="preserve"> по изготовлению протезов для инвалидов не позднее 5 (пяти) рабочих дней с момента получения Реестров Получателей от Заказчика </w:t>
      </w:r>
    </w:p>
    <w:p w:rsidR="000701D4" w:rsidRPr="008017D8" w:rsidRDefault="000701D4" w:rsidP="000701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7D8">
        <w:rPr>
          <w:rFonts w:ascii="Times New Roman" w:hAnsi="Times New Roman" w:cs="Times New Roman"/>
          <w:color w:val="000000"/>
          <w:sz w:val="20"/>
          <w:szCs w:val="20"/>
          <w:u w:val="single"/>
        </w:rPr>
        <w:t>Выполнить работы и выдать</w:t>
      </w:r>
      <w:r w:rsidRPr="008017D8">
        <w:rPr>
          <w:rFonts w:ascii="Times New Roman" w:hAnsi="Times New Roman" w:cs="Times New Roman"/>
          <w:color w:val="000000"/>
          <w:sz w:val="20"/>
          <w:szCs w:val="20"/>
        </w:rPr>
        <w:t xml:space="preserve"> Получателям изделия в срок </w:t>
      </w:r>
      <w:r w:rsidRPr="008017D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не более 60 (шестидесяти) календарных дней</w:t>
      </w:r>
      <w:r w:rsidRPr="008017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17D8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Pr="008017D8">
        <w:rPr>
          <w:rFonts w:ascii="Times New Roman" w:hAnsi="Times New Roman" w:cs="Times New Roman"/>
          <w:b/>
          <w:sz w:val="20"/>
          <w:szCs w:val="20"/>
        </w:rPr>
        <w:t>15.06.2023</w:t>
      </w:r>
      <w:r w:rsidRPr="008017D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701D4" w:rsidRPr="008017D8" w:rsidRDefault="000701D4" w:rsidP="000701D4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  <w:u w:val="single"/>
        </w:rPr>
        <w:t>Выполнение работ</w:t>
      </w:r>
      <w:r w:rsidRPr="008017D8">
        <w:rPr>
          <w:rFonts w:cs="Times New Roman"/>
          <w:sz w:val="20"/>
          <w:szCs w:val="20"/>
        </w:rPr>
        <w:t xml:space="preserve"> осуществляется по индивидуальным заказам Получателей </w:t>
      </w: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8017D8">
        <w:rPr>
          <w:rFonts w:cs="Times New Roman"/>
          <w:sz w:val="20"/>
          <w:szCs w:val="20"/>
          <w:u w:val="single"/>
        </w:rPr>
        <w:t>Обеспечение и выдача</w:t>
      </w:r>
      <w:r w:rsidRPr="008017D8">
        <w:rPr>
          <w:rFonts w:cs="Times New Roman"/>
          <w:sz w:val="20"/>
          <w:szCs w:val="20"/>
        </w:rPr>
        <w:t xml:space="preserve"> изделий осуществляется </w:t>
      </w:r>
      <w:r w:rsidRPr="008017D8">
        <w:rPr>
          <w:rFonts w:cs="Times New Roman"/>
          <w:kern w:val="0"/>
          <w:sz w:val="20"/>
          <w:szCs w:val="20"/>
        </w:rPr>
        <w:t>п</w:t>
      </w:r>
      <w:r w:rsidRPr="008017D8">
        <w:rPr>
          <w:rFonts w:cs="Times New Roman"/>
          <w:sz w:val="20"/>
          <w:szCs w:val="20"/>
        </w:rPr>
        <w:t>о согласованию с Получателем по месту нахождения Исполнителя</w:t>
      </w:r>
    </w:p>
    <w:p w:rsidR="000701D4" w:rsidRPr="008017D8" w:rsidRDefault="000701D4" w:rsidP="000701D4">
      <w:pPr>
        <w:pStyle w:val="Standard"/>
        <w:ind w:firstLine="709"/>
        <w:jc w:val="both"/>
        <w:rPr>
          <w:rFonts w:cs="Times New Roman"/>
          <w:sz w:val="20"/>
          <w:szCs w:val="20"/>
        </w:rPr>
      </w:pPr>
    </w:p>
    <w:p w:rsidR="00F92380" w:rsidRPr="008017D8" w:rsidRDefault="00F92380">
      <w:pPr>
        <w:rPr>
          <w:rFonts w:ascii="Times New Roman" w:hAnsi="Times New Roman" w:cs="Times New Roman"/>
          <w:sz w:val="20"/>
          <w:szCs w:val="20"/>
        </w:rPr>
      </w:pPr>
    </w:p>
    <w:sectPr w:rsidR="00F92380" w:rsidRPr="0080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B5886"/>
    <w:multiLevelType w:val="multilevel"/>
    <w:tmpl w:val="96D8882E"/>
    <w:styleLink w:val="WWOutlineListStyle9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-"/>
      <w:lvlText w:val="%4."/>
      <w:lvlJc w:val="left"/>
      <w:pPr>
        <w:ind w:left="288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D4"/>
    <w:rsid w:val="000701D4"/>
    <w:rsid w:val="00341DE0"/>
    <w:rsid w:val="006E4CB8"/>
    <w:rsid w:val="008017D8"/>
    <w:rsid w:val="00933926"/>
    <w:rsid w:val="00DD2044"/>
    <w:rsid w:val="00E92026"/>
    <w:rsid w:val="00EB7D64"/>
    <w:rsid w:val="00F92380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D295-98E5-4A70-A923-45D0C9BE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01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01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0701D4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T41">
    <w:name w:val="T41"/>
    <w:rsid w:val="000701D4"/>
    <w:rPr>
      <w:rFonts w:ascii="Times New Roman" w:hAnsi="Times New Roman"/>
      <w:color w:val="000000"/>
      <w:spacing w:val="-2"/>
      <w:sz w:val="24"/>
    </w:rPr>
  </w:style>
  <w:style w:type="numbering" w:customStyle="1" w:styleId="WWOutlineListStyle9">
    <w:name w:val="WW_OutlineListStyle_9"/>
    <w:basedOn w:val="a2"/>
    <w:rsid w:val="000701D4"/>
    <w:pPr>
      <w:numPr>
        <w:numId w:val="1"/>
      </w:numPr>
    </w:pPr>
  </w:style>
  <w:style w:type="paragraph" w:customStyle="1" w:styleId="-">
    <w:name w:val="Контракт-раздел"/>
    <w:basedOn w:val="a"/>
    <w:next w:val="a"/>
    <w:rsid w:val="000701D4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2F8B-4AE6-4087-AE23-7304EE5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Лобачева Светлана Николаевна</dc:creator>
  <cp:keywords/>
  <dc:description/>
  <cp:lastModifiedBy>Лобачева Светлана Николаевна</cp:lastModifiedBy>
  <cp:revision>6</cp:revision>
  <dcterms:created xsi:type="dcterms:W3CDTF">2023-02-27T12:13:00Z</dcterms:created>
  <dcterms:modified xsi:type="dcterms:W3CDTF">2023-03-01T05:49:00Z</dcterms:modified>
</cp:coreProperties>
</file>