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A3" w:rsidRDefault="00C204A9" w:rsidP="00F07E31">
      <w:pPr>
        <w:widowControl w:val="0"/>
        <w:spacing w:line="240" w:lineRule="atLeast"/>
      </w:pPr>
      <w:r w:rsidRPr="000D5BC4">
        <w:rPr>
          <w:b/>
          <w:sz w:val="26"/>
          <w:szCs w:val="26"/>
        </w:rPr>
        <w:t xml:space="preserve">                                            </w:t>
      </w:r>
      <w:r w:rsidR="004E69A3">
        <w:rPr>
          <w:b/>
          <w:sz w:val="26"/>
          <w:szCs w:val="26"/>
        </w:rPr>
        <w:t xml:space="preserve">                                                     </w:t>
      </w:r>
      <w:r w:rsidRPr="000D5BC4">
        <w:rPr>
          <w:b/>
          <w:sz w:val="26"/>
          <w:szCs w:val="26"/>
        </w:rPr>
        <w:t xml:space="preserve"> </w:t>
      </w:r>
      <w:r w:rsidR="004E69A3">
        <w:t>Приложение № 1 к Извещению</w:t>
      </w:r>
    </w:p>
    <w:p w:rsidR="004E69A3" w:rsidRDefault="004E69A3" w:rsidP="00F07E31">
      <w:pPr>
        <w:widowControl w:val="0"/>
        <w:spacing w:line="240" w:lineRule="atLeast"/>
        <w:jc w:val="center"/>
      </w:pPr>
    </w:p>
    <w:p w:rsidR="004E69A3" w:rsidRDefault="004E69A3" w:rsidP="00F07E31">
      <w:pPr>
        <w:widowControl w:val="0"/>
        <w:spacing w:line="240" w:lineRule="atLeast"/>
        <w:jc w:val="center"/>
        <w:rPr>
          <w:b/>
        </w:rPr>
      </w:pPr>
      <w:r>
        <w:rPr>
          <w:b/>
        </w:rPr>
        <w:t>Описание объекта закупки</w:t>
      </w:r>
    </w:p>
    <w:p w:rsidR="00A923E9" w:rsidRPr="005E479C" w:rsidRDefault="00A923E9" w:rsidP="00E77869">
      <w:pPr>
        <w:widowControl w:val="0"/>
        <w:rPr>
          <w:b/>
          <w:sz w:val="26"/>
          <w:szCs w:val="26"/>
        </w:rPr>
      </w:pPr>
    </w:p>
    <w:p w:rsidR="007B369F" w:rsidRPr="001A13AB" w:rsidRDefault="007B369F" w:rsidP="007B3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3AB">
        <w:rPr>
          <w:rFonts w:ascii="Times New Roman" w:hAnsi="Times New Roman" w:cs="Times New Roman"/>
          <w:b/>
          <w:sz w:val="24"/>
          <w:szCs w:val="24"/>
        </w:rPr>
        <w:t xml:space="preserve">Предмет контракта: </w:t>
      </w:r>
      <w:r w:rsidRPr="001A13AB">
        <w:rPr>
          <w:rFonts w:ascii="Times New Roman" w:hAnsi="Times New Roman" w:cs="Times New Roman"/>
          <w:sz w:val="24"/>
          <w:szCs w:val="24"/>
        </w:rPr>
        <w:t xml:space="preserve">Обеспечение в 2023 году инвалидов ходунками различной модификации. </w:t>
      </w:r>
    </w:p>
    <w:p w:rsidR="007B369F" w:rsidRPr="001A13AB" w:rsidRDefault="007B369F" w:rsidP="007B369F">
      <w:pPr>
        <w:keepNext/>
        <w:keepLines/>
        <w:suppressLineNumbers/>
        <w:ind w:firstLine="709"/>
        <w:jc w:val="both"/>
        <w:rPr>
          <w:b/>
        </w:rPr>
      </w:pPr>
      <w:r w:rsidRPr="001A13AB">
        <w:rPr>
          <w:b/>
        </w:rPr>
        <w:t>Общее количество:</w:t>
      </w:r>
      <w:r w:rsidRPr="001A13AB">
        <w:t xml:space="preserve"> </w:t>
      </w:r>
      <w:r>
        <w:t>486</w:t>
      </w:r>
      <w:r w:rsidRPr="001A13AB">
        <w:rPr>
          <w:b/>
        </w:rPr>
        <w:t xml:space="preserve"> </w:t>
      </w:r>
      <w:r w:rsidRPr="001A13AB">
        <w:t>шт.</w:t>
      </w:r>
    </w:p>
    <w:p w:rsidR="007B369F" w:rsidRPr="001A13AB" w:rsidRDefault="007B369F" w:rsidP="007B369F">
      <w:pPr>
        <w:keepNext/>
        <w:keepLines/>
        <w:suppressLineNumbers/>
        <w:ind w:firstLine="709"/>
        <w:jc w:val="both"/>
        <w:rPr>
          <w:b/>
        </w:rPr>
      </w:pPr>
      <w:r w:rsidRPr="001A13AB">
        <w:rPr>
          <w:b/>
        </w:rPr>
        <w:t xml:space="preserve">Место поставки: </w:t>
      </w:r>
      <w:r w:rsidRPr="001A13AB">
        <w:t>г. Воронеж, Воронежская область.</w:t>
      </w:r>
    </w:p>
    <w:p w:rsidR="007B369F" w:rsidRPr="001A13AB" w:rsidRDefault="007B369F" w:rsidP="007B369F">
      <w:pPr>
        <w:keepNext/>
        <w:keepLines/>
        <w:suppressLineNumbers/>
        <w:ind w:firstLine="709"/>
        <w:jc w:val="both"/>
      </w:pPr>
      <w:r w:rsidRPr="001A13AB">
        <w:rPr>
          <w:b/>
        </w:rPr>
        <w:t>Срок доставки</w:t>
      </w:r>
      <w:r w:rsidRPr="001A13AB">
        <w:t xml:space="preserve"> </w:t>
      </w:r>
      <w:r w:rsidRPr="001A13AB">
        <w:rPr>
          <w:b/>
        </w:rPr>
        <w:t xml:space="preserve">товара: </w:t>
      </w:r>
      <w:r w:rsidRPr="001A13AB">
        <w:t xml:space="preserve">Получателям в течение 30 календарных дней, а в отношении Получателей из числа инвалидов, нуждающихся в оказании паллиативной медицинской помощи, </w:t>
      </w:r>
      <w:r w:rsidRPr="001A13AB">
        <w:rPr>
          <w:b/>
        </w:rPr>
        <w:t>7 календарных дней</w:t>
      </w:r>
      <w:r w:rsidRPr="001A13AB">
        <w:t xml:space="preserve"> со дня получения Поставщиком от Заказчика реестра получателей Товара, которым выданы направления на обеспечение техническими средствами реабилитации, но не позднее 2</w:t>
      </w:r>
      <w:r>
        <w:t>7</w:t>
      </w:r>
      <w:r w:rsidRPr="001A13AB">
        <w:t>.1</w:t>
      </w:r>
      <w:r>
        <w:t>1</w:t>
      </w:r>
      <w:r w:rsidRPr="001A13AB">
        <w:t>.2023.</w:t>
      </w:r>
    </w:p>
    <w:p w:rsidR="007B369F" w:rsidRPr="001A13AB" w:rsidRDefault="007B369F" w:rsidP="007B369F">
      <w:pPr>
        <w:keepNext/>
        <w:keepLines/>
        <w:suppressLineNumbers/>
        <w:ind w:firstLine="709"/>
        <w:jc w:val="both"/>
        <w:rPr>
          <w:b/>
        </w:rPr>
      </w:pPr>
      <w:r w:rsidRPr="001A13AB">
        <w:rPr>
          <w:b/>
        </w:rPr>
        <w:t>Условия поставки:</w:t>
      </w:r>
    </w:p>
    <w:p w:rsidR="007B369F" w:rsidRPr="001A13AB" w:rsidRDefault="007B369F" w:rsidP="007B369F">
      <w:pPr>
        <w:widowControl w:val="0"/>
        <w:ind w:firstLine="709"/>
        <w:jc w:val="both"/>
        <w:rPr>
          <w:rFonts w:eastAsia="Calibri"/>
        </w:rPr>
      </w:pPr>
      <w:r w:rsidRPr="001A13AB">
        <w:rPr>
          <w:rFonts w:eastAsia="Calibri"/>
        </w:rPr>
        <w:t>- поставка технических средств реабилитации инвалидам (Получателям) должна осуществляться при наличии направления, выданного заказчиком;</w:t>
      </w:r>
    </w:p>
    <w:p w:rsidR="007B369F" w:rsidRPr="001A13AB" w:rsidRDefault="007B369F" w:rsidP="007B369F">
      <w:pPr>
        <w:widowControl w:val="0"/>
        <w:ind w:firstLine="709"/>
        <w:jc w:val="both"/>
        <w:rPr>
          <w:rFonts w:eastAsia="Calibri"/>
        </w:rPr>
      </w:pPr>
      <w:r w:rsidRPr="001A13AB">
        <w:rPr>
          <w:rFonts w:eastAsia="Calibri"/>
        </w:rPr>
        <w:t>- в случае выбора способа получения технического средства реабилитации по месту нахождения пункта выдачи Товара и предоставления инвалидом (представителем инвалида с надлежащим образом оформленными полномочиями) направления на обеспечение техническими средствами реабилитации, такие средства выдаются в день обращения инвалида (представителя инвалида) в указанный пункт;</w:t>
      </w:r>
    </w:p>
    <w:p w:rsidR="007B369F" w:rsidRPr="001A13AB" w:rsidRDefault="007B369F" w:rsidP="007B369F">
      <w:pPr>
        <w:widowControl w:val="0"/>
        <w:ind w:firstLine="709"/>
        <w:jc w:val="both"/>
        <w:rPr>
          <w:rFonts w:eastAsia="Calibri"/>
        </w:rPr>
      </w:pPr>
      <w:r w:rsidRPr="001A13AB">
        <w:rPr>
          <w:rFonts w:eastAsia="Calibri"/>
        </w:rPr>
        <w:t>- ведение журнала телефонных звонков инвалидам из реестра получателей технических средств реабилитации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7B369F" w:rsidRPr="001A13AB" w:rsidRDefault="007B369F" w:rsidP="007B369F">
      <w:pPr>
        <w:widowControl w:val="0"/>
        <w:ind w:firstLine="709"/>
        <w:jc w:val="both"/>
        <w:rPr>
          <w:rFonts w:eastAsia="Calibri"/>
        </w:rPr>
      </w:pPr>
      <w:r w:rsidRPr="001A13AB">
        <w:rPr>
          <w:rFonts w:eastAsia="Calibri"/>
        </w:rPr>
        <w:t>- ведение аудиозаписи телефонных разговоров с инвалидами по вопросам получения технического средства реабилитации;</w:t>
      </w:r>
    </w:p>
    <w:p w:rsidR="007B369F" w:rsidRPr="001A13AB" w:rsidRDefault="007B369F" w:rsidP="007B369F">
      <w:pPr>
        <w:widowControl w:val="0"/>
        <w:ind w:firstLine="709"/>
        <w:jc w:val="both"/>
        <w:rPr>
          <w:rFonts w:eastAsia="Calibri"/>
        </w:rPr>
      </w:pPr>
      <w:r w:rsidRPr="001A13AB">
        <w:rPr>
          <w:rFonts w:eastAsia="Calibri"/>
        </w:rPr>
        <w:t>- предоставление Заказчику в рамках подтверждения исполнения государственного контракта журнала телефонных звонков (по требованию Заказчика);</w:t>
      </w:r>
    </w:p>
    <w:p w:rsidR="007B369F" w:rsidRPr="001A13AB" w:rsidRDefault="007B369F" w:rsidP="007B369F">
      <w:pPr>
        <w:widowControl w:val="0"/>
        <w:ind w:firstLine="709"/>
        <w:jc w:val="both"/>
        <w:rPr>
          <w:rFonts w:eastAsia="Calibri"/>
        </w:rPr>
      </w:pPr>
      <w:r w:rsidRPr="001A13AB">
        <w:rPr>
          <w:rFonts w:eastAsia="Calibri"/>
        </w:rPr>
        <w:t>- информирование не позднее дня, следующего за датой доставки (датой окончания периода доставки), о невозможности предоставления технического средства реабилитации инвалиду;</w:t>
      </w:r>
    </w:p>
    <w:p w:rsidR="007B369F" w:rsidRPr="001A13AB" w:rsidRDefault="007B369F" w:rsidP="007B369F">
      <w:pPr>
        <w:widowControl w:val="0"/>
        <w:ind w:firstLine="709"/>
        <w:jc w:val="both"/>
        <w:rPr>
          <w:rFonts w:eastAsia="Calibri"/>
        </w:rPr>
      </w:pPr>
      <w:r w:rsidRPr="001A13AB">
        <w:rPr>
          <w:rFonts w:eastAsia="Calibri"/>
        </w:rPr>
        <w:t>- исключение длительного ожидания и обслуживания инвалидов, в случае выбора ими способа получения технического средства реабилитации по месту нахождения пунктов выдачи;</w:t>
      </w:r>
    </w:p>
    <w:p w:rsidR="007B369F" w:rsidRPr="001A13AB" w:rsidRDefault="007B369F" w:rsidP="007B369F">
      <w:pPr>
        <w:widowControl w:val="0"/>
        <w:ind w:firstLine="709"/>
        <w:jc w:val="both"/>
        <w:rPr>
          <w:rFonts w:eastAsia="Calibri"/>
        </w:rPr>
      </w:pPr>
      <w:r w:rsidRPr="001A13AB">
        <w:rPr>
          <w:rFonts w:eastAsia="Calibri"/>
        </w:rPr>
        <w:t>- информирование инвалидов о дате, времени и месте поставки;</w:t>
      </w:r>
    </w:p>
    <w:p w:rsidR="007B369F" w:rsidRPr="001A13AB" w:rsidRDefault="007B369F" w:rsidP="007B369F">
      <w:pPr>
        <w:widowControl w:val="0"/>
        <w:ind w:firstLine="709"/>
        <w:jc w:val="both"/>
        <w:rPr>
          <w:rFonts w:eastAsia="Calibri"/>
        </w:rPr>
      </w:pPr>
      <w:r w:rsidRPr="001A13AB">
        <w:rPr>
          <w:rFonts w:eastAsia="Calibri"/>
        </w:rPr>
        <w:t>- установить график работы пунктов выдачи Товара, включая работу в один из выходных дней.</w:t>
      </w:r>
    </w:p>
    <w:p w:rsidR="007B369F" w:rsidRPr="001A13AB" w:rsidRDefault="007B369F" w:rsidP="007B369F">
      <w:pPr>
        <w:widowControl w:val="0"/>
        <w:ind w:firstLine="709"/>
        <w:jc w:val="both"/>
      </w:pPr>
      <w:r w:rsidRPr="001A13AB">
        <w:t xml:space="preserve">В случае выдачи изделий Получателям в пунктах выдачи, данные пункты должны соответствовать приказу Министерства труда и социальной защиты Российской Федерации от 30 июля 2015 г.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в том числе с привлечением соисполнителей. </w:t>
      </w:r>
    </w:p>
    <w:p w:rsidR="007B369F" w:rsidRPr="001A13AB" w:rsidRDefault="007B369F" w:rsidP="007B369F">
      <w:pPr>
        <w:widowControl w:val="0"/>
        <w:ind w:firstLine="709"/>
        <w:jc w:val="both"/>
      </w:pPr>
      <w:r w:rsidRPr="001A13AB">
        <w:t>Пункты выдачи должны быть оснащены видеокамерами. С целью контроля выдачи товара Поставщик должен иметь возможность по запросу Заказчика и с согласия Получателя предоставить Заказчику видеоотчет передачи технических средств реабилитации Получателям.</w:t>
      </w:r>
    </w:p>
    <w:p w:rsidR="007B369F" w:rsidRDefault="007B369F" w:rsidP="007B369F">
      <w:pPr>
        <w:widowControl w:val="0"/>
        <w:ind w:firstLine="709"/>
        <w:jc w:val="both"/>
      </w:pPr>
      <w:r w:rsidRPr="001A13AB">
        <w:t>Для связи со стационарным пунктом выдачи технических средств должно быть предусмотрено подключение к телефонной сети или предусмотрен бесплатный мобильный номер телефона.</w:t>
      </w:r>
    </w:p>
    <w:p w:rsidR="007B369F" w:rsidRDefault="007B369F" w:rsidP="007B369F">
      <w:pPr>
        <w:widowControl w:val="0"/>
        <w:ind w:firstLine="709"/>
        <w:jc w:val="both"/>
      </w:pPr>
      <w:r w:rsidRPr="001A13AB">
        <w:t>Перед выдачей товара Получателю Поставщик должен предоставить технические средства реабилитации Заказчику для проверки на соответствие требованиям технического задания, известив о месте и времени проведения выборочной проверки товара Заказчика.</w:t>
      </w:r>
    </w:p>
    <w:p w:rsidR="007B369F" w:rsidRDefault="007B369F" w:rsidP="007B369F">
      <w:pPr>
        <w:widowControl w:val="0"/>
        <w:ind w:firstLine="709"/>
        <w:jc w:val="both"/>
      </w:pPr>
      <w:r w:rsidRPr="001A13AB">
        <w:lastRenderedPageBreak/>
        <w:t>Перед подписанием Акта выборочной проверки товара Поставщик предоставляет Заказчику информацию о месте нахождения стационарных пунктов выдачи технических средств.</w:t>
      </w:r>
    </w:p>
    <w:p w:rsidR="007B369F" w:rsidRDefault="007B369F" w:rsidP="007B369F">
      <w:pPr>
        <w:widowControl w:val="0"/>
        <w:ind w:firstLine="709"/>
        <w:jc w:val="both"/>
      </w:pPr>
      <w:r w:rsidRPr="001A13AB">
        <w:t>Доставка средств реабилитации Получателям осуществляется после подписания Акта выборочной проверки товара.</w:t>
      </w:r>
    </w:p>
    <w:p w:rsidR="007B369F" w:rsidRDefault="007B369F" w:rsidP="007B369F">
      <w:pPr>
        <w:widowControl w:val="0"/>
        <w:ind w:firstLine="709"/>
        <w:jc w:val="both"/>
      </w:pPr>
      <w:r w:rsidRPr="001A13AB">
        <w:t>В рамках осуществления Заказчиком контроля за порядком и сроками поставки Товара, согласно условиям Контракта, в течение 5 дней с момента передачи Заказчиком Реестра Получателей Товара Поставщик предоставляет график поставки Товара Получателям по муниципальным районам Воронежской области и районам городского округа города Воронежа.</w:t>
      </w:r>
    </w:p>
    <w:p w:rsidR="007B369F" w:rsidRDefault="007B369F" w:rsidP="007B369F">
      <w:pPr>
        <w:widowControl w:val="0"/>
        <w:ind w:firstLine="709"/>
        <w:jc w:val="both"/>
      </w:pPr>
      <w:r w:rsidRPr="001A13AB">
        <w:t>Необходимо указывать торговые наименования (или) модели изделий.</w:t>
      </w:r>
    </w:p>
    <w:p w:rsidR="007B369F" w:rsidRPr="001A13AB" w:rsidRDefault="007B369F" w:rsidP="007B369F">
      <w:pPr>
        <w:widowControl w:val="0"/>
        <w:ind w:firstLine="709"/>
        <w:jc w:val="both"/>
      </w:pPr>
      <w:r w:rsidRPr="001A13AB">
        <w:t>Наличие регистрационного удостоверения Федеральной службы по надзору в здравоохранении.</w:t>
      </w:r>
    </w:p>
    <w:p w:rsidR="007B369F" w:rsidRPr="001A13AB" w:rsidRDefault="007B369F" w:rsidP="007B369F">
      <w:pPr>
        <w:pStyle w:val="ab"/>
        <w:keepNext/>
        <w:spacing w:before="0" w:after="0"/>
        <w:ind w:left="0" w:right="0" w:firstLine="372"/>
        <w:jc w:val="both"/>
        <w:rPr>
          <w:b/>
          <w:sz w:val="24"/>
        </w:rPr>
      </w:pPr>
      <w:r w:rsidRPr="001A13AB">
        <w:rPr>
          <w:b/>
          <w:sz w:val="24"/>
        </w:rPr>
        <w:t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товара:</w:t>
      </w:r>
    </w:p>
    <w:p w:rsidR="007B369F" w:rsidRPr="001A13AB" w:rsidRDefault="007B369F" w:rsidP="007B369F">
      <w:pPr>
        <w:pStyle w:val="ab"/>
        <w:keepNext/>
        <w:spacing w:before="0" w:after="0"/>
        <w:ind w:left="0" w:right="0" w:firstLine="372"/>
        <w:jc w:val="both"/>
        <w:rPr>
          <w:sz w:val="24"/>
        </w:rPr>
      </w:pPr>
      <w:r w:rsidRPr="001A13AB">
        <w:rPr>
          <w:sz w:val="24"/>
        </w:rPr>
        <w:tab/>
        <w:t xml:space="preserve"> Ходунки должны соответствовать требованиям стандартов ГОСТ Р ИСО 11199-1-2022 «Средства вспомогательные для ходьбы, управляемые обеими руками. Требования и методы испытаний» и ГОСТ Р 59436-2021 «Средства вспомогательные для ходьбы, управляемые обеими руками. </w:t>
      </w:r>
      <w:r w:rsidRPr="001A13AB">
        <w:rPr>
          <w:bCs/>
          <w:sz w:val="24"/>
        </w:rPr>
        <w:t xml:space="preserve">Требования и методы испытаний. Часть 2. Ходунки </w:t>
      </w:r>
      <w:proofErr w:type="spellStart"/>
      <w:r w:rsidRPr="001A13AB">
        <w:rPr>
          <w:bCs/>
          <w:sz w:val="24"/>
        </w:rPr>
        <w:t>роллаторы</w:t>
      </w:r>
      <w:proofErr w:type="spellEnd"/>
      <w:r w:rsidRPr="001A13AB">
        <w:rPr>
          <w:sz w:val="24"/>
        </w:rPr>
        <w:t>». ГОСТ Р 52770-2016 «Изделия медицинские. Требования безопасности. Методы санитарно-химических и токсикологических испытаний».</w:t>
      </w:r>
    </w:p>
    <w:p w:rsidR="007B369F" w:rsidRPr="001A13AB" w:rsidRDefault="007B369F" w:rsidP="007B369F">
      <w:pPr>
        <w:keepLines/>
        <w:widowControl w:val="0"/>
        <w:suppressLineNumbers/>
        <w:autoSpaceDE w:val="0"/>
        <w:ind w:firstLine="709"/>
        <w:jc w:val="both"/>
      </w:pPr>
      <w:r w:rsidRPr="001A13AB">
        <w:t xml:space="preserve">Материалы, применяемые для изготовления ходунков не должны содержать 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должны воздействовать на цвет поверхности (пола, одежды, кожи пользователя), с которым контактируют те или иные детали средства реабилитации при его нормальной эксплуатации. </w:t>
      </w:r>
    </w:p>
    <w:p w:rsidR="007B369F" w:rsidRPr="001A13AB" w:rsidRDefault="007B369F" w:rsidP="007B369F">
      <w:pPr>
        <w:keepLines/>
        <w:widowControl w:val="0"/>
        <w:suppressLineNumbers/>
        <w:autoSpaceDE w:val="0"/>
        <w:ind w:firstLine="709"/>
        <w:jc w:val="both"/>
        <w:rPr>
          <w:color w:val="000000"/>
          <w:kern w:val="1"/>
          <w:lang w:eastAsia="ar-SA"/>
        </w:rPr>
      </w:pPr>
      <w:r w:rsidRPr="001A13AB">
        <w:t xml:space="preserve">Металлические части должны быть изготовлены из коррозийно-стойких материалов или иметь защитные и защитно-декоративные покрытия в соответствии с ГОСТ 9.032-74, ГОСТ 9.301-86, ГОСТ 9.303-84. </w:t>
      </w:r>
      <w:r w:rsidRPr="001A13AB">
        <w:rPr>
          <w:color w:val="000000"/>
          <w:kern w:val="1"/>
          <w:lang w:eastAsia="ar-SA"/>
        </w:rPr>
        <w:t xml:space="preserve">Ходунки должны иметь </w:t>
      </w:r>
      <w:r w:rsidRPr="001A13AB">
        <w:rPr>
          <w:iCs/>
          <w:lang w:eastAsia="ar-SA"/>
        </w:rPr>
        <w:t>действующее регистрационное удостоверение, выданное Федеральной службой по надзору в сфере здравоохранения и социального развития,</w:t>
      </w:r>
      <w:r w:rsidRPr="001A13AB">
        <w:rPr>
          <w:lang w:eastAsia="ar-SA"/>
        </w:rPr>
        <w:t xml:space="preserve"> сертификат соответствия, либо декларация о соответствии</w:t>
      </w:r>
      <w:r w:rsidRPr="001A13AB">
        <w:rPr>
          <w:iCs/>
          <w:lang w:eastAsia="ar-SA"/>
        </w:rPr>
        <w:t>, если регистрация и подтверждение соответствия предусмотрены действующим законодательством.</w:t>
      </w:r>
    </w:p>
    <w:p w:rsidR="007B369F" w:rsidRPr="001A13AB" w:rsidRDefault="007B369F" w:rsidP="007B369F">
      <w:pPr>
        <w:suppressAutoHyphens/>
        <w:autoSpaceDE w:val="0"/>
        <w:ind w:firstLine="720"/>
        <w:jc w:val="both"/>
      </w:pPr>
      <w:r w:rsidRPr="001A13AB">
        <w:t>Регулировать высоту и складывать ходунки пользователь должен без применения специальных инструментов. Устройство регулирования высоты должно иметь отчетливые отметки с указанием максимально допустимого удлинения.</w:t>
      </w:r>
    </w:p>
    <w:p w:rsidR="007B369F" w:rsidRPr="001A13AB" w:rsidRDefault="007B369F" w:rsidP="007B369F">
      <w:pPr>
        <w:jc w:val="both"/>
      </w:pPr>
      <w:r w:rsidRPr="001A13AB">
        <w:tab/>
        <w:t>Рукоятки (ручки) ходунков должны быть изготовлены из неабсорбирующего материала, обладающего низкой теплопроводностью, и иметь форму, обеспечивающую прочность захвата.</w:t>
      </w:r>
    </w:p>
    <w:p w:rsidR="007B369F" w:rsidRPr="001A13AB" w:rsidRDefault="007B369F" w:rsidP="007B369F">
      <w:pPr>
        <w:jc w:val="both"/>
      </w:pPr>
      <w:r w:rsidRPr="001A13AB">
        <w:t xml:space="preserve">           Поставляемое изделие должно быть новым (изделие, которое не было в употре</w:t>
      </w:r>
      <w:r w:rsidRPr="001A13AB">
        <w:t>б</w:t>
      </w:r>
      <w:r w:rsidRPr="001A13AB">
        <w:t>лении, не прошло ремонт, в том числе восстановление, замену составных частей, во</w:t>
      </w:r>
      <w:r w:rsidRPr="001A13AB">
        <w:t>с</w:t>
      </w:r>
      <w:r w:rsidRPr="001A13AB">
        <w:t>становление потребительских свойств).</w:t>
      </w:r>
    </w:p>
    <w:p w:rsidR="007B369F" w:rsidRPr="001A13AB" w:rsidRDefault="007B369F" w:rsidP="007B369F">
      <w:pPr>
        <w:jc w:val="both"/>
      </w:pPr>
      <w:r w:rsidRPr="001A13AB">
        <w:tab/>
        <w:t>Сроки предоставления гарантий качества 12 месяцев со дня подписания Акта приема – передачи технич</w:t>
      </w:r>
      <w:r w:rsidRPr="001A13AB">
        <w:t>е</w:t>
      </w:r>
      <w:r w:rsidRPr="001A13AB">
        <w:t>ского средства Получателем. Вместе с изделием Получателю должен быть передан гарантийный талон, дающий право на бе</w:t>
      </w:r>
      <w:r w:rsidRPr="001A13AB">
        <w:t>с</w:t>
      </w:r>
      <w:r w:rsidRPr="001A13AB">
        <w:t>платный ремонт технического средства во время гарантийного срока польз</w:t>
      </w:r>
      <w:r w:rsidRPr="001A13AB">
        <w:t>о</w:t>
      </w:r>
      <w:r w:rsidRPr="001A13AB">
        <w:t>вания.</w:t>
      </w:r>
    </w:p>
    <w:p w:rsidR="007B369F" w:rsidRPr="001A13AB" w:rsidRDefault="007B369F" w:rsidP="007B369F">
      <w:pPr>
        <w:jc w:val="both"/>
      </w:pPr>
      <w:r w:rsidRPr="001A13AB">
        <w:tab/>
        <w:t>Обязательно указание адресов специализированных мастерских, в которые след</w:t>
      </w:r>
      <w:r w:rsidRPr="001A13AB">
        <w:t>у</w:t>
      </w:r>
      <w:r w:rsidRPr="001A13AB">
        <w:t>ет обращаться для гарантийного ремонта или устранения неисправностей в течении ср</w:t>
      </w:r>
      <w:r w:rsidRPr="001A13AB">
        <w:t>о</w:t>
      </w:r>
      <w:r w:rsidRPr="001A13AB">
        <w:t>ка эксплуатации ходунков.</w:t>
      </w:r>
    </w:p>
    <w:p w:rsidR="007B369F" w:rsidRPr="001A13AB" w:rsidRDefault="007B369F" w:rsidP="007B369F">
      <w:pPr>
        <w:jc w:val="both"/>
      </w:pPr>
      <w:r w:rsidRPr="001A13AB">
        <w:tab/>
        <w:t>В течение гарантийного срока в случае обнаружения Получателем недостатка в поставленном изделии, Поставщиком, либо уполномоченной производителем организ</w:t>
      </w:r>
      <w:r w:rsidRPr="001A13AB">
        <w:t>а</w:t>
      </w:r>
      <w:r w:rsidRPr="001A13AB">
        <w:t xml:space="preserve">цией (индивидуальным предпринимателем) должны быть обеспечены замена на изделие той же модели, либо безвозмездное устранение недостатков изделия (по гарантийному талону). При </w:t>
      </w:r>
      <w:r w:rsidRPr="001A13AB">
        <w:lastRenderedPageBreak/>
        <w:t>этом срок безвозмездного устранения недостатков изделия (гарантийного ремонта) со дня обращения Получателя не до</w:t>
      </w:r>
      <w:r w:rsidRPr="001A13AB">
        <w:t>л</w:t>
      </w:r>
      <w:r w:rsidRPr="001A13AB">
        <w:t>жен превышать 30 дней.</w:t>
      </w:r>
    </w:p>
    <w:p w:rsidR="007B369F" w:rsidRPr="001A13AB" w:rsidRDefault="007B369F" w:rsidP="007B369F">
      <w:pPr>
        <w:jc w:val="both"/>
      </w:pPr>
      <w:r w:rsidRPr="001A13AB">
        <w:tab/>
        <w:t>Ремонт должен осуществляться в соответствии с Федеральным законом от 07.02.1992 № 2300-1 «О защите прав потребителей». Срок службы изделия должен составлять не менее срока пользования, установленного в соответствии с установленного приказом Министерства труда и социальной защиты Российской Федерации от 05.03.2021 №107н.</w:t>
      </w:r>
    </w:p>
    <w:p w:rsidR="007B369F" w:rsidRPr="001A13AB" w:rsidRDefault="007B369F" w:rsidP="007B369F">
      <w:pPr>
        <w:jc w:val="both"/>
      </w:pPr>
      <w:r w:rsidRPr="001A13AB">
        <w:tab/>
        <w:t>На изделия должен быть нанесен товарный знак, установленный для предпр</w:t>
      </w:r>
      <w:r w:rsidRPr="001A13AB">
        <w:t>и</w:t>
      </w:r>
      <w:r w:rsidRPr="001A13AB">
        <w:t xml:space="preserve">ятия-изготовителя и маркировка, не нарушающая покрытие и товарный вид. </w:t>
      </w:r>
      <w:r w:rsidRPr="001A13AB">
        <w:tab/>
        <w:t>Упаковка ходунков должна обеспечивать их защиту от воздейс</w:t>
      </w:r>
      <w:r w:rsidRPr="001A13AB">
        <w:t>т</w:t>
      </w:r>
      <w:r w:rsidRPr="001A13AB">
        <w:t>вия механических и климатических факторов во время транспортир</w:t>
      </w:r>
      <w:r w:rsidRPr="001A13AB">
        <w:t>о</w:t>
      </w:r>
      <w:r w:rsidRPr="001A13AB">
        <w:t>вания, хранения и удобство выполнения погрузочно-разгрузочных работ. При этом каждое изделие дол</w:t>
      </w:r>
      <w:r w:rsidRPr="001A13AB">
        <w:t>ж</w:t>
      </w:r>
      <w:r w:rsidRPr="001A13AB">
        <w:t>но быть уложено в индивидуальную упаковку, предохраняющую его от п</w:t>
      </w:r>
      <w:r w:rsidRPr="001A13AB">
        <w:t>о</w:t>
      </w:r>
      <w:r w:rsidRPr="001A13AB">
        <w:t>вреждений при транспортировке и хранении.</w:t>
      </w:r>
    </w:p>
    <w:p w:rsidR="007B369F" w:rsidRPr="001A13AB" w:rsidRDefault="007B369F" w:rsidP="007B369F">
      <w:pPr>
        <w:jc w:val="both"/>
      </w:pPr>
      <w:r w:rsidRPr="001A13AB">
        <w:tab/>
        <w:t>Хранение должно осуществляться в соответствии с требованиями, предъявля</w:t>
      </w:r>
      <w:r w:rsidRPr="001A13AB">
        <w:t>е</w:t>
      </w:r>
      <w:r w:rsidRPr="001A13AB">
        <w:t>мыми к данной категории товара.</w:t>
      </w:r>
    </w:p>
    <w:p w:rsidR="007B369F" w:rsidRPr="001A13AB" w:rsidRDefault="007B369F" w:rsidP="007B369F">
      <w:pPr>
        <w:widowControl w:val="0"/>
        <w:ind w:firstLine="709"/>
        <w:jc w:val="both"/>
      </w:pPr>
      <w:r w:rsidRPr="001A13AB">
        <w:t>Транспортирование ходунков должно осуществляться любым видом крытого транспорта, обеспечивающим их защиту от климатических воздействий, в соответствии с правилами перевозки грузов, действующими на данном виде транспорта.</w:t>
      </w:r>
    </w:p>
    <w:p w:rsidR="007B369F" w:rsidRPr="001A13AB" w:rsidRDefault="007B369F" w:rsidP="007B369F">
      <w:pPr>
        <w:widowControl w:val="0"/>
        <w:ind w:firstLine="709"/>
        <w:jc w:val="both"/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384"/>
        <w:gridCol w:w="5608"/>
        <w:gridCol w:w="1392"/>
      </w:tblGrid>
      <w:tr w:rsidR="007B369F" w:rsidRPr="001A13AB" w:rsidTr="00593D70">
        <w:tc>
          <w:tcPr>
            <w:tcW w:w="724" w:type="pct"/>
            <w:shd w:val="clear" w:color="auto" w:fill="auto"/>
            <w:vAlign w:val="center"/>
          </w:tcPr>
          <w:p w:rsidR="007B369F" w:rsidRPr="001A13AB" w:rsidRDefault="007B369F" w:rsidP="00593D70">
            <w:pPr>
              <w:jc w:val="center"/>
              <w:rPr>
                <w:b/>
              </w:rPr>
            </w:pPr>
            <w:r w:rsidRPr="001A13AB">
              <w:t>Наименование ТСР</w:t>
            </w:r>
          </w:p>
        </w:tc>
        <w:tc>
          <w:tcPr>
            <w:tcW w:w="706" w:type="pct"/>
            <w:vAlign w:val="center"/>
          </w:tcPr>
          <w:p w:rsidR="007B369F" w:rsidRPr="001A13AB" w:rsidRDefault="007B369F" w:rsidP="00593D70">
            <w:pPr>
              <w:jc w:val="center"/>
            </w:pPr>
            <w:r>
              <w:t>КТРУ / ОКПД2</w:t>
            </w:r>
          </w:p>
        </w:tc>
        <w:tc>
          <w:tcPr>
            <w:tcW w:w="2859" w:type="pct"/>
            <w:shd w:val="clear" w:color="auto" w:fill="auto"/>
            <w:vAlign w:val="center"/>
          </w:tcPr>
          <w:p w:rsidR="007B369F" w:rsidRPr="001A13AB" w:rsidRDefault="007B369F" w:rsidP="00593D70">
            <w:pPr>
              <w:jc w:val="center"/>
            </w:pPr>
            <w:r w:rsidRPr="001A13AB">
              <w:t>Технические характеристики ТСР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7B369F" w:rsidRPr="001A13AB" w:rsidRDefault="007B369F" w:rsidP="00593D70">
            <w:pPr>
              <w:jc w:val="center"/>
            </w:pPr>
            <w:r w:rsidRPr="001A13AB">
              <w:t>Требуемое кол-во (шт.)</w:t>
            </w:r>
          </w:p>
        </w:tc>
      </w:tr>
      <w:tr w:rsidR="007B369F" w:rsidRPr="001A13AB" w:rsidTr="00593D70">
        <w:tc>
          <w:tcPr>
            <w:tcW w:w="724" w:type="pct"/>
            <w:shd w:val="clear" w:color="auto" w:fill="auto"/>
          </w:tcPr>
          <w:p w:rsidR="007B369F" w:rsidRPr="001A13AB" w:rsidRDefault="007B369F" w:rsidP="00593D70">
            <w:pPr>
              <w:contextualSpacing/>
              <w:jc w:val="both"/>
            </w:pPr>
            <w:r w:rsidRPr="001A13AB">
              <w:t>(6-10-01) Ходунки шагающие</w:t>
            </w:r>
          </w:p>
        </w:tc>
        <w:tc>
          <w:tcPr>
            <w:tcW w:w="706" w:type="pct"/>
          </w:tcPr>
          <w:p w:rsidR="007B369F" w:rsidRPr="001A13AB" w:rsidRDefault="007B369F" w:rsidP="00593D70">
            <w:pPr>
              <w:contextualSpacing/>
              <w:jc w:val="both"/>
            </w:pPr>
            <w:r w:rsidRPr="007A0282">
              <w:t>32.50.22.129-00000012</w:t>
            </w:r>
          </w:p>
        </w:tc>
        <w:tc>
          <w:tcPr>
            <w:tcW w:w="2859" w:type="pct"/>
            <w:shd w:val="clear" w:color="auto" w:fill="auto"/>
          </w:tcPr>
          <w:p w:rsidR="007B369F" w:rsidRPr="001A13AB" w:rsidRDefault="007B369F" w:rsidP="00593D70">
            <w:pPr>
              <w:contextualSpacing/>
              <w:jc w:val="both"/>
            </w:pPr>
            <w:r w:rsidRPr="001A13AB">
              <w:t xml:space="preserve">Ходунки шагающие – устройство для придания дополнительного равновесия и опоры при ходьбе людям с нарушением функций опорно-двигательной системы. </w:t>
            </w:r>
          </w:p>
          <w:p w:rsidR="007B369F" w:rsidRPr="001A13AB" w:rsidRDefault="007B369F" w:rsidP="00593D70">
            <w:pPr>
              <w:contextualSpacing/>
              <w:jc w:val="both"/>
            </w:pPr>
            <w:r w:rsidRPr="001A13AB">
              <w:t xml:space="preserve">Принцип действия шагающих ходунков должен основываться на попеременном поднятии одной и другой стороны устройства.  </w:t>
            </w:r>
          </w:p>
          <w:p w:rsidR="007B369F" w:rsidRPr="001A13AB" w:rsidRDefault="007B369F" w:rsidP="00593D70">
            <w:pPr>
              <w:contextualSpacing/>
              <w:jc w:val="both"/>
            </w:pPr>
            <w:r w:rsidRPr="001A13AB">
              <w:t>Ходунки шагающие должны быть складными, регулируемыми по высоте, компактными при транспортировке и хранении, легко складываться без применения инструментов, не оставлять следов на полу, иметь функцию «</w:t>
            </w:r>
            <w:proofErr w:type="spellStart"/>
            <w:r w:rsidRPr="001A13AB">
              <w:t>шагание</w:t>
            </w:r>
            <w:proofErr w:type="spellEnd"/>
            <w:r w:rsidRPr="001A13AB">
              <w:t>».</w:t>
            </w:r>
          </w:p>
          <w:p w:rsidR="007B369F" w:rsidRPr="001A13AB" w:rsidRDefault="007B369F" w:rsidP="00593D70">
            <w:pPr>
              <w:contextualSpacing/>
              <w:jc w:val="both"/>
            </w:pPr>
            <w:r w:rsidRPr="001A13AB">
              <w:t>Металлические части ходунков должны быть изготовлены из высокопрочных сплавов. Наконечники ножек ходунков должны быть изготовлены из упругого, прочного материала, имеющего высокий коэффициент трения.</w:t>
            </w:r>
          </w:p>
          <w:p w:rsidR="007B369F" w:rsidRPr="001A13AB" w:rsidRDefault="007B369F" w:rsidP="00593D70">
            <w:pPr>
              <w:contextualSpacing/>
              <w:jc w:val="both"/>
            </w:pPr>
            <w:r w:rsidRPr="001A13AB">
              <w:t>Ходунки шагающие должны поставляться под рост инвалида и должны быть сразу нескольких типоразмеров благодаря механизму регулирования высоты.</w:t>
            </w:r>
          </w:p>
          <w:p w:rsidR="007B369F" w:rsidRPr="001A13AB" w:rsidRDefault="007B369F" w:rsidP="00593D70">
            <w:pPr>
              <w:contextualSpacing/>
              <w:jc w:val="both"/>
            </w:pPr>
            <w:r w:rsidRPr="001A13AB">
              <w:t>В комплект поставки ходунков должны входить:</w:t>
            </w:r>
          </w:p>
          <w:p w:rsidR="007B369F" w:rsidRPr="001A13AB" w:rsidRDefault="007B369F" w:rsidP="00593D70">
            <w:pPr>
              <w:contextualSpacing/>
              <w:jc w:val="both"/>
            </w:pPr>
            <w:r w:rsidRPr="001A13AB">
              <w:t>- паспорт на изделие;</w:t>
            </w:r>
          </w:p>
          <w:p w:rsidR="007B369F" w:rsidRPr="001A13AB" w:rsidRDefault="007B369F" w:rsidP="00593D70">
            <w:pPr>
              <w:contextualSpacing/>
              <w:jc w:val="both"/>
            </w:pPr>
            <w:r w:rsidRPr="001A13AB">
              <w:t>- гарантийный талон.</w:t>
            </w:r>
          </w:p>
        </w:tc>
        <w:tc>
          <w:tcPr>
            <w:tcW w:w="710" w:type="pct"/>
            <w:shd w:val="clear" w:color="auto" w:fill="auto"/>
          </w:tcPr>
          <w:p w:rsidR="007B369F" w:rsidRPr="001A13AB" w:rsidRDefault="007B369F" w:rsidP="00593D70">
            <w:pPr>
              <w:contextualSpacing/>
              <w:jc w:val="center"/>
            </w:pPr>
            <w:r>
              <w:t>410</w:t>
            </w:r>
          </w:p>
        </w:tc>
      </w:tr>
      <w:tr w:rsidR="007B369F" w:rsidRPr="001A13AB" w:rsidTr="00593D70">
        <w:tc>
          <w:tcPr>
            <w:tcW w:w="724" w:type="pct"/>
            <w:shd w:val="clear" w:color="auto" w:fill="auto"/>
          </w:tcPr>
          <w:p w:rsidR="007B369F" w:rsidRPr="001A13AB" w:rsidRDefault="007B369F" w:rsidP="00593D70">
            <w:pPr>
              <w:contextualSpacing/>
              <w:jc w:val="both"/>
            </w:pPr>
            <w:r w:rsidRPr="001A13AB">
              <w:t>(6-10-02) Ходунки на колесах</w:t>
            </w:r>
          </w:p>
        </w:tc>
        <w:tc>
          <w:tcPr>
            <w:tcW w:w="706" w:type="pct"/>
          </w:tcPr>
          <w:p w:rsidR="007B369F" w:rsidRPr="001A13AB" w:rsidRDefault="007B369F" w:rsidP="00593D70">
            <w:pPr>
              <w:contextualSpacing/>
              <w:jc w:val="both"/>
            </w:pPr>
            <w:r w:rsidRPr="007A0282">
              <w:t>32.50.22.129-00000012</w:t>
            </w:r>
          </w:p>
        </w:tc>
        <w:tc>
          <w:tcPr>
            <w:tcW w:w="2859" w:type="pct"/>
            <w:shd w:val="clear" w:color="auto" w:fill="auto"/>
          </w:tcPr>
          <w:p w:rsidR="007B369F" w:rsidRPr="001A13AB" w:rsidRDefault="007B369F" w:rsidP="00593D70">
            <w:pPr>
              <w:contextualSpacing/>
              <w:jc w:val="both"/>
            </w:pPr>
            <w:r w:rsidRPr="001A13AB">
              <w:t xml:space="preserve">Ходунки на колесах предназначены для дополнительной опоры и облегчения передвижения людей, имеющих травмы и заболевания нижних конечностей. </w:t>
            </w:r>
          </w:p>
          <w:p w:rsidR="007B369F" w:rsidRPr="001A13AB" w:rsidRDefault="007B369F" w:rsidP="00593D70">
            <w:pPr>
              <w:contextualSpacing/>
              <w:jc w:val="both"/>
            </w:pPr>
            <w:r w:rsidRPr="001A13AB">
              <w:t xml:space="preserve">Принцип действия ходунков на колесах должен основываться на перестановке ходунков. Перестановка должна осуществляться путём поднятия задних опор ходунка (оснащены </w:t>
            </w:r>
            <w:r w:rsidRPr="001A13AB">
              <w:lastRenderedPageBreak/>
              <w:t>резиновыми наконечниками), и перекатывания передних, которые оснащены колёсами.</w:t>
            </w:r>
          </w:p>
          <w:p w:rsidR="007B369F" w:rsidRPr="001A13AB" w:rsidRDefault="007B369F" w:rsidP="00593D70">
            <w:pPr>
              <w:contextualSpacing/>
              <w:jc w:val="both"/>
            </w:pPr>
            <w:r w:rsidRPr="001A13AB">
              <w:t>Ходунки на колесах должны поставляться под рост инвалида и должны быть сразу нескольких типоразмеров благодаря механизму регулирования высоты.</w:t>
            </w:r>
          </w:p>
          <w:p w:rsidR="007B369F" w:rsidRPr="001A13AB" w:rsidRDefault="007B369F" w:rsidP="00593D70">
            <w:pPr>
              <w:contextualSpacing/>
              <w:jc w:val="both"/>
            </w:pPr>
            <w:r w:rsidRPr="001A13AB">
              <w:t>В комплект поставки ходунков должны входить:</w:t>
            </w:r>
          </w:p>
          <w:p w:rsidR="007B369F" w:rsidRPr="001A13AB" w:rsidRDefault="007B369F" w:rsidP="00593D70">
            <w:pPr>
              <w:contextualSpacing/>
              <w:jc w:val="both"/>
            </w:pPr>
            <w:r w:rsidRPr="001A13AB">
              <w:t>- паспорт на изделие;</w:t>
            </w:r>
          </w:p>
          <w:p w:rsidR="007B369F" w:rsidRPr="001A13AB" w:rsidRDefault="007B369F" w:rsidP="00593D70">
            <w:pPr>
              <w:contextualSpacing/>
              <w:jc w:val="both"/>
            </w:pPr>
            <w:r w:rsidRPr="001A13AB">
              <w:t>- гарантийный талон.</w:t>
            </w:r>
          </w:p>
        </w:tc>
        <w:tc>
          <w:tcPr>
            <w:tcW w:w="710" w:type="pct"/>
            <w:shd w:val="clear" w:color="auto" w:fill="auto"/>
          </w:tcPr>
          <w:p w:rsidR="007B369F" w:rsidRPr="001A13AB" w:rsidRDefault="007B369F" w:rsidP="00593D70">
            <w:pPr>
              <w:contextualSpacing/>
              <w:jc w:val="center"/>
              <w:rPr>
                <w:lang w:val="en-US"/>
              </w:rPr>
            </w:pPr>
            <w:r>
              <w:lastRenderedPageBreak/>
              <w:t>26</w:t>
            </w:r>
          </w:p>
        </w:tc>
      </w:tr>
      <w:tr w:rsidR="007B369F" w:rsidRPr="001A13AB" w:rsidTr="00593D70">
        <w:tc>
          <w:tcPr>
            <w:tcW w:w="724" w:type="pct"/>
            <w:shd w:val="clear" w:color="auto" w:fill="auto"/>
          </w:tcPr>
          <w:p w:rsidR="007B369F" w:rsidRPr="001A13AB" w:rsidRDefault="007B369F" w:rsidP="00593D70">
            <w:pPr>
              <w:jc w:val="both"/>
            </w:pPr>
            <w:r w:rsidRPr="001A13AB">
              <w:lastRenderedPageBreak/>
              <w:t>(6-10-03)</w:t>
            </w:r>
          </w:p>
          <w:p w:rsidR="007B369F" w:rsidRPr="001A13AB" w:rsidRDefault="007B369F" w:rsidP="00593D70">
            <w:pPr>
              <w:contextualSpacing/>
              <w:jc w:val="both"/>
            </w:pPr>
            <w:r w:rsidRPr="001A13AB">
              <w:t>Ходунки с опорой на предплечье</w:t>
            </w:r>
          </w:p>
        </w:tc>
        <w:tc>
          <w:tcPr>
            <w:tcW w:w="706" w:type="pct"/>
          </w:tcPr>
          <w:p w:rsidR="007B369F" w:rsidRPr="001A13AB" w:rsidRDefault="007B369F" w:rsidP="00593D70">
            <w:pPr>
              <w:jc w:val="both"/>
            </w:pPr>
            <w:r w:rsidRPr="007A0282">
              <w:t>32.50.22.129-00000012</w:t>
            </w:r>
          </w:p>
        </w:tc>
        <w:tc>
          <w:tcPr>
            <w:tcW w:w="2859" w:type="pct"/>
            <w:shd w:val="clear" w:color="auto" w:fill="auto"/>
          </w:tcPr>
          <w:p w:rsidR="007B369F" w:rsidRPr="001A13AB" w:rsidRDefault="007B369F" w:rsidP="00593D70">
            <w:pPr>
              <w:jc w:val="both"/>
            </w:pPr>
            <w:r w:rsidRPr="001A13AB">
              <w:t xml:space="preserve">Ходунки с опорой на предплечье – вспомогательное техническое средство, предназначенное для облегчения ходьбы, имеющее дополнительную опору на предплечье, которая дополняет конструкцию ходунков, обеспечивая высокий уровень устойчивости во время передвижения. </w:t>
            </w:r>
          </w:p>
          <w:p w:rsidR="007B369F" w:rsidRPr="001A13AB" w:rsidRDefault="007B369F" w:rsidP="00593D70">
            <w:pPr>
              <w:jc w:val="both"/>
            </w:pPr>
            <w:r w:rsidRPr="001A13AB">
              <w:t>Металлические части ходунков с опорой на предплечье должны быть изготовлены из высокопрочных сплавов и иметь складную, разборную конструкцию с возможностью регулировки по высоте без применения инструмента.</w:t>
            </w:r>
          </w:p>
          <w:p w:rsidR="007B369F" w:rsidRPr="001A13AB" w:rsidRDefault="007B369F" w:rsidP="00593D70">
            <w:pPr>
              <w:jc w:val="both"/>
            </w:pPr>
            <w:r w:rsidRPr="001A13AB">
              <w:t xml:space="preserve">Ходунки должны быть на четырех опорах оснащенными </w:t>
            </w:r>
            <w:proofErr w:type="spellStart"/>
            <w:r w:rsidRPr="001A13AB">
              <w:t>самоцентрующимися</w:t>
            </w:r>
            <w:proofErr w:type="spellEnd"/>
            <w:r w:rsidRPr="001A13AB">
              <w:t xml:space="preserve"> колесами, задние колеса должны быть оснащены тормозами. Колеса ходунков должны быть литые диаметром не менее 100 мм. Ходунки должны быть оснащены сидением. </w:t>
            </w:r>
          </w:p>
          <w:p w:rsidR="007B369F" w:rsidRPr="001A13AB" w:rsidRDefault="007B369F" w:rsidP="00593D70">
            <w:pPr>
              <w:jc w:val="both"/>
            </w:pPr>
            <w:r w:rsidRPr="001A13AB">
              <w:t>Ходунки должны поставляться под рост инвалида и должны быть сразу нескольких типоразмеров благодаря механизму плавного регулирования высоты</w:t>
            </w:r>
          </w:p>
          <w:p w:rsidR="007B369F" w:rsidRPr="001A13AB" w:rsidRDefault="007B369F" w:rsidP="00593D70">
            <w:pPr>
              <w:shd w:val="clear" w:color="auto" w:fill="FFFFFF"/>
              <w:jc w:val="both"/>
              <w:rPr>
                <w:spacing w:val="6"/>
                <w:kern w:val="1"/>
              </w:rPr>
            </w:pPr>
            <w:r w:rsidRPr="001A13AB">
              <w:rPr>
                <w:spacing w:val="6"/>
                <w:kern w:val="1"/>
              </w:rPr>
              <w:t>В комплект поставки ходунков должны входить:</w:t>
            </w:r>
          </w:p>
          <w:p w:rsidR="007B369F" w:rsidRPr="001A13AB" w:rsidRDefault="007B369F" w:rsidP="00593D70">
            <w:pPr>
              <w:jc w:val="both"/>
            </w:pPr>
            <w:r w:rsidRPr="001A13AB">
              <w:t>- паспорт на изделие;</w:t>
            </w:r>
          </w:p>
          <w:p w:rsidR="007B369F" w:rsidRPr="001A13AB" w:rsidRDefault="007B369F" w:rsidP="00593D70">
            <w:pPr>
              <w:contextualSpacing/>
              <w:jc w:val="both"/>
            </w:pPr>
            <w:r w:rsidRPr="001A13AB">
              <w:t>- гарантийный талон.</w:t>
            </w:r>
          </w:p>
        </w:tc>
        <w:tc>
          <w:tcPr>
            <w:tcW w:w="710" w:type="pct"/>
            <w:shd w:val="clear" w:color="auto" w:fill="auto"/>
          </w:tcPr>
          <w:p w:rsidR="007B369F" w:rsidRPr="001A13AB" w:rsidRDefault="007B369F" w:rsidP="00593D70">
            <w:pPr>
              <w:contextualSpacing/>
              <w:jc w:val="center"/>
            </w:pPr>
            <w:r>
              <w:t>29</w:t>
            </w:r>
          </w:p>
        </w:tc>
      </w:tr>
      <w:tr w:rsidR="007B369F" w:rsidRPr="001A13AB" w:rsidTr="00593D70">
        <w:tc>
          <w:tcPr>
            <w:tcW w:w="724" w:type="pct"/>
            <w:shd w:val="clear" w:color="auto" w:fill="auto"/>
          </w:tcPr>
          <w:p w:rsidR="007B369F" w:rsidRPr="001A13AB" w:rsidRDefault="007B369F" w:rsidP="00593D70">
            <w:pPr>
              <w:jc w:val="both"/>
            </w:pPr>
            <w:r w:rsidRPr="001A13AB">
              <w:t xml:space="preserve">(6-10-04) </w:t>
            </w:r>
          </w:p>
          <w:p w:rsidR="007B369F" w:rsidRPr="001A13AB" w:rsidRDefault="007B369F" w:rsidP="00593D70">
            <w:pPr>
              <w:jc w:val="both"/>
            </w:pPr>
            <w:r w:rsidRPr="001A13AB">
              <w:t>Ходунки с подмышечной опорой</w:t>
            </w:r>
          </w:p>
        </w:tc>
        <w:tc>
          <w:tcPr>
            <w:tcW w:w="706" w:type="pct"/>
          </w:tcPr>
          <w:p w:rsidR="007B369F" w:rsidRPr="001A13AB" w:rsidRDefault="007B369F" w:rsidP="00593D70">
            <w:pPr>
              <w:jc w:val="both"/>
            </w:pPr>
            <w:r w:rsidRPr="007A0282">
              <w:t>32.50.22.129-00000012</w:t>
            </w:r>
          </w:p>
        </w:tc>
        <w:tc>
          <w:tcPr>
            <w:tcW w:w="2859" w:type="pct"/>
            <w:shd w:val="clear" w:color="auto" w:fill="auto"/>
          </w:tcPr>
          <w:p w:rsidR="007B369F" w:rsidRPr="001A13AB" w:rsidRDefault="007B369F" w:rsidP="00593D70">
            <w:pPr>
              <w:jc w:val="both"/>
            </w:pPr>
            <w:r w:rsidRPr="001A13AB">
              <w:t xml:space="preserve">Ходунки с подмышечной опорой – вспомогательное техническое средство, предназначенное для облегчения ходьбы, имеющее подмышечную опору, которая дополняет конструкцию ходунков, обеспечивая высокий уровень устойчивости во время передвижения.                </w:t>
            </w:r>
          </w:p>
          <w:p w:rsidR="007B369F" w:rsidRPr="001A13AB" w:rsidRDefault="007B369F" w:rsidP="00593D70">
            <w:pPr>
              <w:jc w:val="both"/>
            </w:pPr>
            <w:r w:rsidRPr="001A13AB">
              <w:t>Металлические части ходунков должны быть изготовлены из высокопрочных сплавов.</w:t>
            </w:r>
          </w:p>
          <w:p w:rsidR="007B369F" w:rsidRPr="001A13AB" w:rsidRDefault="007B369F" w:rsidP="00593D70">
            <w:pPr>
              <w:jc w:val="both"/>
            </w:pPr>
            <w:r w:rsidRPr="001A13AB">
              <w:t xml:space="preserve">Подмышечные опоры должны иметь возможность плавной регулировки по высоте. </w:t>
            </w:r>
          </w:p>
          <w:p w:rsidR="007B369F" w:rsidRPr="001A13AB" w:rsidRDefault="007B369F" w:rsidP="00593D70">
            <w:pPr>
              <w:jc w:val="both"/>
            </w:pPr>
            <w:r w:rsidRPr="001A13AB">
              <w:t xml:space="preserve">Ходунки с подмышечной опорой должны складываться и раскладываться без применения инструментов и иметь кнопочный фиксатор посередине. </w:t>
            </w:r>
          </w:p>
          <w:p w:rsidR="007B369F" w:rsidRPr="001A13AB" w:rsidRDefault="007B369F" w:rsidP="00593D70">
            <w:pPr>
              <w:jc w:val="both"/>
            </w:pPr>
            <w:r w:rsidRPr="001A13AB">
              <w:t>Ходунки должны поставляться под рост инвалида и должны быть сразу нескольких типоразмеров благодаря механизму плавного регулирования высоты.</w:t>
            </w:r>
          </w:p>
          <w:p w:rsidR="007B369F" w:rsidRPr="001A13AB" w:rsidRDefault="007B369F" w:rsidP="00593D70">
            <w:pPr>
              <w:jc w:val="both"/>
            </w:pPr>
            <w:r w:rsidRPr="001A13AB">
              <w:t>В комплект поставки ходунков должны входить:</w:t>
            </w:r>
          </w:p>
          <w:p w:rsidR="007B369F" w:rsidRPr="001A13AB" w:rsidRDefault="007B369F" w:rsidP="00593D70">
            <w:pPr>
              <w:jc w:val="both"/>
            </w:pPr>
            <w:r w:rsidRPr="001A13AB">
              <w:lastRenderedPageBreak/>
              <w:t>- паспорт на изделие;</w:t>
            </w:r>
          </w:p>
          <w:p w:rsidR="007B369F" w:rsidRPr="001A13AB" w:rsidRDefault="007B369F" w:rsidP="00593D70">
            <w:pPr>
              <w:jc w:val="both"/>
            </w:pPr>
            <w:r w:rsidRPr="001A13AB">
              <w:t>- гарантийный талон.</w:t>
            </w:r>
          </w:p>
        </w:tc>
        <w:tc>
          <w:tcPr>
            <w:tcW w:w="710" w:type="pct"/>
            <w:shd w:val="clear" w:color="auto" w:fill="auto"/>
          </w:tcPr>
          <w:p w:rsidR="007B369F" w:rsidRPr="001A13AB" w:rsidRDefault="007B369F" w:rsidP="00593D70">
            <w:pPr>
              <w:contextualSpacing/>
              <w:jc w:val="center"/>
            </w:pPr>
            <w:r>
              <w:lastRenderedPageBreak/>
              <w:t>12</w:t>
            </w:r>
          </w:p>
        </w:tc>
      </w:tr>
      <w:tr w:rsidR="007B369F" w:rsidRPr="001A13AB" w:rsidTr="00593D70">
        <w:tc>
          <w:tcPr>
            <w:tcW w:w="724" w:type="pct"/>
            <w:shd w:val="clear" w:color="auto" w:fill="auto"/>
          </w:tcPr>
          <w:p w:rsidR="007B369F" w:rsidRPr="001A13AB" w:rsidRDefault="007B369F" w:rsidP="00593D70">
            <w:r w:rsidRPr="001A13AB">
              <w:lastRenderedPageBreak/>
              <w:t xml:space="preserve">(6-10-05) </w:t>
            </w:r>
          </w:p>
          <w:p w:rsidR="007B369F" w:rsidRPr="001A13AB" w:rsidRDefault="007B369F" w:rsidP="00593D70">
            <w:pPr>
              <w:jc w:val="both"/>
            </w:pPr>
            <w:r w:rsidRPr="001A13AB">
              <w:t>Ходунки-</w:t>
            </w:r>
            <w:proofErr w:type="spellStart"/>
            <w:r w:rsidRPr="001A13AB">
              <w:t>роллаторы</w:t>
            </w:r>
            <w:proofErr w:type="spellEnd"/>
          </w:p>
        </w:tc>
        <w:tc>
          <w:tcPr>
            <w:tcW w:w="706" w:type="pct"/>
          </w:tcPr>
          <w:p w:rsidR="007B369F" w:rsidRPr="001A13AB" w:rsidRDefault="007B369F" w:rsidP="00593D70">
            <w:pPr>
              <w:jc w:val="both"/>
            </w:pPr>
            <w:r w:rsidRPr="007A0282">
              <w:t>32.50.22.129-00000012</w:t>
            </w:r>
          </w:p>
        </w:tc>
        <w:tc>
          <w:tcPr>
            <w:tcW w:w="2859" w:type="pct"/>
            <w:shd w:val="clear" w:color="auto" w:fill="auto"/>
          </w:tcPr>
          <w:p w:rsidR="007B369F" w:rsidRPr="001A13AB" w:rsidRDefault="007B369F" w:rsidP="00593D70">
            <w:pPr>
              <w:jc w:val="both"/>
            </w:pPr>
            <w:r w:rsidRPr="001A13AB">
              <w:t>Ходунки-</w:t>
            </w:r>
            <w:proofErr w:type="spellStart"/>
            <w:r w:rsidRPr="001A13AB">
              <w:t>роллаторы</w:t>
            </w:r>
            <w:proofErr w:type="spellEnd"/>
            <w:r w:rsidRPr="001A13AB">
              <w:t xml:space="preserve">, используемые для реабилитации инвалидов, должны обеспечивать надежную опору при передвижении. </w:t>
            </w:r>
          </w:p>
          <w:p w:rsidR="007B369F" w:rsidRPr="001A13AB" w:rsidRDefault="007B369F" w:rsidP="00593D70">
            <w:pPr>
              <w:jc w:val="both"/>
            </w:pPr>
            <w:r w:rsidRPr="001A13AB">
              <w:t xml:space="preserve">Ходунки должны легко складываться, регулироваться по высоте, быть оснащены четырьмя колесами, иметь рукоятки (ручки), изготовленные из материала, обладающего низкой теплопроводностью, обеспечивающими прочность захвата. </w:t>
            </w:r>
          </w:p>
          <w:p w:rsidR="007B369F" w:rsidRPr="001A13AB" w:rsidRDefault="007B369F" w:rsidP="00593D70">
            <w:pPr>
              <w:jc w:val="both"/>
            </w:pPr>
            <w:r w:rsidRPr="001A13AB">
              <w:t xml:space="preserve">Корпус ходунков должен быть изготовлен из облегченного прочного сплава, не подвергающегося коррозии. </w:t>
            </w:r>
          </w:p>
          <w:p w:rsidR="007B369F" w:rsidRPr="001A13AB" w:rsidRDefault="007B369F" w:rsidP="00593D70">
            <w:pPr>
              <w:jc w:val="both"/>
            </w:pPr>
            <w:r w:rsidRPr="001A13AB">
              <w:t>Передние колеса должны быть с поворотным механизмом, задние – с фиксатором.</w:t>
            </w:r>
          </w:p>
          <w:p w:rsidR="007B369F" w:rsidRPr="001A13AB" w:rsidRDefault="007B369F" w:rsidP="00593D70">
            <w:pPr>
              <w:jc w:val="both"/>
            </w:pPr>
            <w:r w:rsidRPr="001A13AB">
              <w:t xml:space="preserve"> Ходунки должны иметь устройство регулирования высоты. </w:t>
            </w:r>
          </w:p>
          <w:p w:rsidR="007B369F" w:rsidRPr="001A13AB" w:rsidRDefault="007B369F" w:rsidP="00593D70">
            <w:pPr>
              <w:jc w:val="both"/>
            </w:pPr>
            <w:r w:rsidRPr="001A13AB">
              <w:t>В комплект поставки ходунков должно входить:</w:t>
            </w:r>
          </w:p>
          <w:p w:rsidR="007B369F" w:rsidRPr="001A13AB" w:rsidRDefault="007B369F" w:rsidP="00593D70">
            <w:pPr>
              <w:jc w:val="both"/>
            </w:pPr>
            <w:r w:rsidRPr="001A13AB">
              <w:t>- паспорт на изделие;</w:t>
            </w:r>
          </w:p>
          <w:p w:rsidR="007B369F" w:rsidRPr="001A13AB" w:rsidRDefault="007B369F" w:rsidP="00593D70">
            <w:pPr>
              <w:jc w:val="both"/>
            </w:pPr>
            <w:r w:rsidRPr="001A13AB">
              <w:t>- гарантийный талон.</w:t>
            </w:r>
          </w:p>
        </w:tc>
        <w:tc>
          <w:tcPr>
            <w:tcW w:w="710" w:type="pct"/>
            <w:shd w:val="clear" w:color="auto" w:fill="auto"/>
          </w:tcPr>
          <w:p w:rsidR="007B369F" w:rsidRPr="001A13AB" w:rsidRDefault="007B369F" w:rsidP="00593D70">
            <w:pPr>
              <w:contextualSpacing/>
              <w:jc w:val="center"/>
            </w:pPr>
            <w:r>
              <w:t>9</w:t>
            </w:r>
          </w:p>
        </w:tc>
      </w:tr>
    </w:tbl>
    <w:p w:rsidR="008A6130" w:rsidRPr="005E3CB0" w:rsidRDefault="008A6130" w:rsidP="00F07E31">
      <w:pPr>
        <w:widowControl w:val="0"/>
        <w:tabs>
          <w:tab w:val="left" w:pos="720"/>
        </w:tabs>
        <w:ind w:firstLine="567"/>
        <w:jc w:val="both"/>
      </w:pPr>
      <w:bookmarkStart w:id="0" w:name="_GoBack"/>
      <w:bookmarkEnd w:id="0"/>
    </w:p>
    <w:p w:rsidR="0099045F" w:rsidRPr="005E3CB0" w:rsidRDefault="0099045F" w:rsidP="00F07E31">
      <w:pPr>
        <w:widowControl w:val="0"/>
        <w:ind w:firstLine="709"/>
        <w:jc w:val="both"/>
      </w:pPr>
    </w:p>
    <w:sectPr w:rsidR="0099045F" w:rsidRPr="005E3CB0" w:rsidSect="00073B5A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51855"/>
    <w:multiLevelType w:val="hybridMultilevel"/>
    <w:tmpl w:val="B778F542"/>
    <w:lvl w:ilvl="0" w:tplc="9B08F1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A9"/>
    <w:rsid w:val="0003359D"/>
    <w:rsid w:val="00043194"/>
    <w:rsid w:val="00052EAC"/>
    <w:rsid w:val="0006103B"/>
    <w:rsid w:val="00073B5A"/>
    <w:rsid w:val="00093A4D"/>
    <w:rsid w:val="000F4B72"/>
    <w:rsid w:val="00105C37"/>
    <w:rsid w:val="00195F1E"/>
    <w:rsid w:val="001A0D09"/>
    <w:rsid w:val="001A25EA"/>
    <w:rsid w:val="001B186C"/>
    <w:rsid w:val="002547C1"/>
    <w:rsid w:val="002B75B1"/>
    <w:rsid w:val="00311106"/>
    <w:rsid w:val="00386DB5"/>
    <w:rsid w:val="003B72E3"/>
    <w:rsid w:val="003F4151"/>
    <w:rsid w:val="00412F44"/>
    <w:rsid w:val="00416E68"/>
    <w:rsid w:val="004462E5"/>
    <w:rsid w:val="0044703E"/>
    <w:rsid w:val="00470C4C"/>
    <w:rsid w:val="004A0E18"/>
    <w:rsid w:val="004E2A41"/>
    <w:rsid w:val="004E69A3"/>
    <w:rsid w:val="00576245"/>
    <w:rsid w:val="005D32A8"/>
    <w:rsid w:val="005E3CB0"/>
    <w:rsid w:val="005E4E12"/>
    <w:rsid w:val="006106AA"/>
    <w:rsid w:val="00622B8F"/>
    <w:rsid w:val="006C12BE"/>
    <w:rsid w:val="006D0764"/>
    <w:rsid w:val="00723BD5"/>
    <w:rsid w:val="00724468"/>
    <w:rsid w:val="007618C7"/>
    <w:rsid w:val="00772249"/>
    <w:rsid w:val="007A68DA"/>
    <w:rsid w:val="007B369F"/>
    <w:rsid w:val="00803768"/>
    <w:rsid w:val="00803B1C"/>
    <w:rsid w:val="00816C65"/>
    <w:rsid w:val="00845707"/>
    <w:rsid w:val="0087089A"/>
    <w:rsid w:val="008A6130"/>
    <w:rsid w:val="008C66FF"/>
    <w:rsid w:val="00907FCC"/>
    <w:rsid w:val="009118FA"/>
    <w:rsid w:val="00922603"/>
    <w:rsid w:val="0097794F"/>
    <w:rsid w:val="0099045F"/>
    <w:rsid w:val="009B2C3C"/>
    <w:rsid w:val="009B4CAE"/>
    <w:rsid w:val="009C0CDE"/>
    <w:rsid w:val="00A10BEC"/>
    <w:rsid w:val="00A67986"/>
    <w:rsid w:val="00A70E1B"/>
    <w:rsid w:val="00A923E9"/>
    <w:rsid w:val="00AC3961"/>
    <w:rsid w:val="00B13CAC"/>
    <w:rsid w:val="00B50B34"/>
    <w:rsid w:val="00B52504"/>
    <w:rsid w:val="00C204A9"/>
    <w:rsid w:val="00C223DB"/>
    <w:rsid w:val="00C5775E"/>
    <w:rsid w:val="00CA16E8"/>
    <w:rsid w:val="00D03536"/>
    <w:rsid w:val="00D1559B"/>
    <w:rsid w:val="00D31FB8"/>
    <w:rsid w:val="00DA6417"/>
    <w:rsid w:val="00DE4B0F"/>
    <w:rsid w:val="00E77869"/>
    <w:rsid w:val="00EB65B3"/>
    <w:rsid w:val="00F07E31"/>
    <w:rsid w:val="00F66487"/>
    <w:rsid w:val="00FA5588"/>
    <w:rsid w:val="00FD06AE"/>
    <w:rsid w:val="00FD3A74"/>
    <w:rsid w:val="00FE7945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2E8DC-A351-418A-99BD-042A74A1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8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8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1"/>
    <w:basedOn w:val="a"/>
    <w:rsid w:val="00990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link w:val="a7"/>
    <w:qFormat/>
    <w:rsid w:val="009904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99045F"/>
    <w:rPr>
      <w:rFonts w:ascii="Calibri" w:eastAsia="Calibri" w:hAnsi="Calibri" w:cs="Times New Roman"/>
    </w:rPr>
  </w:style>
  <w:style w:type="character" w:customStyle="1" w:styleId="FontStyle19">
    <w:name w:val="Font Style19"/>
    <w:rsid w:val="004E2A41"/>
    <w:rPr>
      <w:rFonts w:ascii="Times New Roman" w:hAnsi="Times New Roman"/>
      <w:sz w:val="24"/>
    </w:rPr>
  </w:style>
  <w:style w:type="paragraph" w:customStyle="1" w:styleId="10">
    <w:name w:val="Без интервала1"/>
    <w:link w:val="NoSpacingChar"/>
    <w:rsid w:val="004E2A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4E2A41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03359D"/>
    <w:pPr>
      <w:ind w:left="720"/>
      <w:contextualSpacing/>
    </w:pPr>
  </w:style>
  <w:style w:type="paragraph" w:styleId="a9">
    <w:name w:val="Body Text"/>
    <w:basedOn w:val="a"/>
    <w:link w:val="aa"/>
    <w:rsid w:val="009B2C3C"/>
    <w:pPr>
      <w:spacing w:after="120"/>
    </w:pPr>
  </w:style>
  <w:style w:type="character" w:customStyle="1" w:styleId="aa">
    <w:name w:val="Основной текст Знак"/>
    <w:basedOn w:val="a0"/>
    <w:link w:val="a9"/>
    <w:rsid w:val="009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DA64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416E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105C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b">
    <w:name w:val="Цитаты"/>
    <w:basedOn w:val="a"/>
    <w:rsid w:val="00093A4D"/>
    <w:pPr>
      <w:suppressAutoHyphens/>
      <w:autoSpaceDE w:val="0"/>
      <w:spacing w:before="100" w:after="100"/>
      <w:ind w:left="360" w:right="360"/>
    </w:pPr>
    <w:rPr>
      <w:rFonts w:eastAsia="Calibri" w:cs="Calibri"/>
      <w:sz w:val="20"/>
      <w:lang w:eastAsia="ar-SA"/>
    </w:rPr>
  </w:style>
  <w:style w:type="paragraph" w:customStyle="1" w:styleId="ConsPlusNormal">
    <w:name w:val="ConsPlusNormal"/>
    <w:rsid w:val="007B3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053F3-5542-499D-AD82-FA7FC415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Игоревна Кирилишина</dc:creator>
  <cp:keywords/>
  <dc:description/>
  <cp:lastModifiedBy>Митина Кристина Александровна</cp:lastModifiedBy>
  <cp:revision>17</cp:revision>
  <cp:lastPrinted>2022-10-03T06:38:00Z</cp:lastPrinted>
  <dcterms:created xsi:type="dcterms:W3CDTF">2022-10-20T08:44:00Z</dcterms:created>
  <dcterms:modified xsi:type="dcterms:W3CDTF">2023-09-25T07:25:00Z</dcterms:modified>
</cp:coreProperties>
</file>