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rPr>
          <w:sz w:val="27"/>
          <w:szCs w:val="27"/>
        </w:rPr>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p w:rsidR="00F21F79" w:rsidRPr="001E4175" w:rsidRDefault="00F21F79" w:rsidP="00063B96">
      <w:pPr>
        <w:jc w:val="both"/>
        <w:rPr>
          <w:sz w:val="27"/>
          <w:szCs w:val="27"/>
        </w:rPr>
      </w:pPr>
      <w:r w:rsidRPr="001E4175">
        <w:rPr>
          <w:sz w:val="27"/>
          <w:szCs w:val="27"/>
        </w:rPr>
        <w:t xml:space="preserve">   10)</w:t>
      </w:r>
      <w:r w:rsidRPr="001E4175">
        <w:rPr>
          <w:sz w:val="27"/>
          <w:szCs w:val="27"/>
        </w:rPr>
        <w:tab/>
      </w:r>
      <w:r w:rsidR="001E4175" w:rsidRPr="001E4175">
        <w:rPr>
          <w:sz w:val="27"/>
          <w:szCs w:val="27"/>
        </w:rPr>
        <w:t xml:space="preserve">В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санаторно-курортное учреждение должно обладать лицензией на осуществление медицинской деятельности, предоставленной лицензирующим органом: работы (услуги), выполняемые при осуществлении санаторно-курортной медицинской помощи по: </w:t>
      </w:r>
      <w:r w:rsidR="001E4175" w:rsidRPr="001E4175">
        <w:rPr>
          <w:b/>
          <w:sz w:val="27"/>
          <w:szCs w:val="27"/>
        </w:rPr>
        <w:t>терапии, кардиологии, неврологии, травматологии и ор</w:t>
      </w:r>
      <w:bookmarkStart w:id="0" w:name="_GoBack"/>
      <w:bookmarkEnd w:id="0"/>
      <w:r w:rsidR="001E4175" w:rsidRPr="001E4175">
        <w:rPr>
          <w:b/>
          <w:sz w:val="27"/>
          <w:szCs w:val="27"/>
        </w:rPr>
        <w:t>топедии, эндокринологии.</w:t>
      </w:r>
    </w:p>
    <w:sectPr w:rsidR="00F21F79" w:rsidRPr="001E4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1E4175"/>
    <w:rsid w:val="003626E5"/>
    <w:rsid w:val="00E835F1"/>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57500259</cp:lastModifiedBy>
  <cp:revision>6</cp:revision>
  <dcterms:created xsi:type="dcterms:W3CDTF">2018-02-06T12:56:00Z</dcterms:created>
  <dcterms:modified xsi:type="dcterms:W3CDTF">2018-07-17T09:51:00Z</dcterms:modified>
</cp:coreProperties>
</file>