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4D4C66"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D4C66" w:rsidRPr="004D4C66">
        <w:rPr>
          <w:rFonts w:ascii="Times New Roman" w:hAnsi="Times New Roman"/>
          <w:sz w:val="24"/>
        </w:rPr>
        <w:t xml:space="preserve">: </w:t>
      </w:r>
      <w:r w:rsidR="004D4C66">
        <w:rPr>
          <w:rFonts w:ascii="Times New Roman" w:hAnsi="Times New Roman"/>
          <w:sz w:val="24"/>
        </w:rPr>
        <w:t xml:space="preserve">- </w:t>
      </w:r>
      <w:bookmarkStart w:id="0" w:name="_GoBack"/>
      <w:bookmarkEnd w:id="0"/>
      <w:r w:rsidR="004D4C66">
        <w:rPr>
          <w:rFonts w:ascii="Times New Roman" w:hAnsi="Times New Roman"/>
          <w:sz w:val="24"/>
        </w:rPr>
        <w:t>о</w:t>
      </w:r>
      <w:r w:rsidR="004D4C66" w:rsidRPr="004D4C66">
        <w:rPr>
          <w:rFonts w:ascii="Times New Roman" w:hAnsi="Times New Roman"/>
          <w:sz w:val="24"/>
        </w:rPr>
        <w:t xml:space="preserve">рганизации, оказывающие санаторно-курортные услуги, должны иметь действующие лицензии на право осуществления медицинской деятельности, в том числе по разделу «Санаторно-курортная помощь» по специальностям: </w:t>
      </w:r>
      <w:r w:rsidR="004D4C66" w:rsidRPr="004D4C66">
        <w:rPr>
          <w:rFonts w:ascii="Times New Roman" w:hAnsi="Times New Roman"/>
          <w:color w:val="000000"/>
          <w:sz w:val="24"/>
        </w:rPr>
        <w:t xml:space="preserve">терапия, кардиология, </w:t>
      </w:r>
      <w:r w:rsidR="004D4C66" w:rsidRPr="004D4C66">
        <w:rPr>
          <w:rFonts w:ascii="Times New Roman" w:hAnsi="Times New Roman"/>
          <w:bCs/>
          <w:color w:val="000000"/>
          <w:sz w:val="24"/>
        </w:rPr>
        <w:t xml:space="preserve">травматология и ортопедия, </w:t>
      </w:r>
      <w:r w:rsidR="004D4C66" w:rsidRPr="004D4C66">
        <w:rPr>
          <w:rFonts w:ascii="Times New Roman" w:hAnsi="Times New Roman"/>
          <w:color w:val="000000"/>
          <w:sz w:val="24"/>
        </w:rPr>
        <w:t xml:space="preserve">гастроэнтерология, эндокринология, пульмонология, </w:t>
      </w:r>
      <w:r w:rsidR="004D4C66" w:rsidRPr="004D4C66">
        <w:rPr>
          <w:rFonts w:ascii="Times New Roman" w:hAnsi="Times New Roman"/>
          <w:bCs/>
          <w:color w:val="000000"/>
          <w:sz w:val="24"/>
        </w:rPr>
        <w:t>выданные лицензирующим органом в соответствии с федеральным законодательством о лицензировании отдельных видов деятельности</w:t>
      </w:r>
      <w:r w:rsidR="004D4C66" w:rsidRPr="004D4C66">
        <w:rPr>
          <w:rFonts w:ascii="Times New Roman" w:hAnsi="Times New Roman"/>
          <w:bCs/>
          <w:color w:val="000000"/>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952E5">
        <w:rPr>
          <w:rFonts w:ascii="Times New Roman" w:hAnsi="Times New Roman"/>
          <w:sz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D4C66"/>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56344"/>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B58F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621</TotalTime>
  <Pages>2</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68</cp:revision>
  <cp:lastPrinted>2018-01-19T05:52:00Z</cp:lastPrinted>
  <dcterms:created xsi:type="dcterms:W3CDTF">2017-10-30T06:43:00Z</dcterms:created>
  <dcterms:modified xsi:type="dcterms:W3CDTF">2019-03-19T11:01:00Z</dcterms:modified>
</cp:coreProperties>
</file>