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r w:rsidR="002E0716" w:rsidRPr="002E0716">
        <w:rPr>
          <w:rFonts w:eastAsia="Arial" w:cs="Times New Roman"/>
          <w:spacing w:val="-1"/>
        </w:rPr>
        <w:t xml:space="preserve"> </w:t>
      </w:r>
      <w:r w:rsidR="00D765B8">
        <w:rPr>
          <w:rFonts w:eastAsia="Arial" w:cs="Times New Roman"/>
          <w:spacing w:val="-1"/>
        </w:rPr>
        <w:t>неврология, ортопедия и твавмотология</w:t>
      </w:r>
      <w:bookmarkStart w:id="0" w:name="_GoBack"/>
      <w:bookmarkEnd w:id="0"/>
      <w:r w:rsidR="003E39BB">
        <w:rPr>
          <w:rFonts w:eastAsia="Arial" w:cs="Times New Roman"/>
          <w:spacing w:val="-1"/>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 Федерации от 16 .04.2012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2E0716"/>
    <w:rsid w:val="003E39BB"/>
    <w:rsid w:val="005D4E0A"/>
    <w:rsid w:val="005F48FD"/>
    <w:rsid w:val="0075080A"/>
    <w:rsid w:val="00991548"/>
    <w:rsid w:val="00AF5ADB"/>
    <w:rsid w:val="00C011BF"/>
    <w:rsid w:val="00D765B8"/>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3</cp:revision>
  <dcterms:created xsi:type="dcterms:W3CDTF">2019-04-04T13:16:00Z</dcterms:created>
  <dcterms:modified xsi:type="dcterms:W3CDTF">2019-04-04T13:18:00Z</dcterms:modified>
</cp:coreProperties>
</file>