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9D" w:rsidRPr="0055416A" w:rsidRDefault="005D079D" w:rsidP="00853753">
      <w:pPr>
        <w:widowControl w:val="0"/>
        <w:autoSpaceDE w:val="0"/>
        <w:autoSpaceDN w:val="0"/>
        <w:adjustRightInd w:val="0"/>
        <w:ind w:firstLine="176"/>
        <w:jc w:val="both"/>
        <w:outlineLvl w:val="1"/>
      </w:pPr>
      <w:r w:rsidRPr="0055416A">
        <w:t>К участникам закупки устанавливаются следующие единые требования: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proofErr w:type="gramStart"/>
      <w:r w:rsidRPr="00C6236E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– </w:t>
      </w:r>
      <w:r w:rsidR="0068523A" w:rsidRPr="0068523A">
        <w:rPr>
          <w:b/>
          <w:i/>
          <w:color w:val="0000FF"/>
        </w:rPr>
        <w:t>лицензия на осуществление медицинской деятельности по профилю «</w:t>
      </w:r>
      <w:proofErr w:type="spellStart"/>
      <w:r w:rsidR="0068523A" w:rsidRPr="0068523A">
        <w:rPr>
          <w:b/>
          <w:i/>
          <w:color w:val="0000FF"/>
        </w:rPr>
        <w:t>сурдология</w:t>
      </w:r>
      <w:proofErr w:type="spellEnd"/>
      <w:r w:rsidR="0068523A" w:rsidRPr="0068523A">
        <w:rPr>
          <w:b/>
          <w:i/>
          <w:color w:val="0000FF"/>
        </w:rPr>
        <w:t>-оториноларингология» на территории Омской области, в соответствии с п. 46 ч. 1 ст. 12 Федерального закона от 4 мая 2011 г. № 99-ФЗ «О лицензировании отдельных видов деятельности».</w:t>
      </w:r>
      <w:proofErr w:type="gramEnd"/>
      <w:r w:rsidR="0068523A" w:rsidRPr="0068523A">
        <w:rPr>
          <w:b/>
          <w:i/>
          <w:color w:val="0000FF"/>
        </w:rPr>
        <w:t xml:space="preserve"> При отсутствии данной лицензии у Поставщика, он вправе привлекать к оказанию услуг по настройке слуховых аппаратов Соисполнителя. При этом Поставщик несет ответственность перед Государственным заказчиком за неисполнение или ненадлежащее исполнение обязательств по исполнению данного вида услуг Соисполнителем. </w:t>
      </w:r>
      <w:proofErr w:type="gramStart"/>
      <w:r w:rsidR="0068523A" w:rsidRPr="0068523A">
        <w:rPr>
          <w:b/>
          <w:i/>
          <w:color w:val="0000FF"/>
        </w:rPr>
        <w:t xml:space="preserve">В случае привлечения Соисполнителя для оказания услуг по настройке слуховых аппаратов, требующих в соответствии с Федеральным законом от 4 мая 2011 г. № 99-ФЗ «О лицензировании отдельных видов деятельности», Федеральным законом от 21 ноября 2011 г. </w:t>
      </w:r>
      <w:proofErr w:type="gramEnd"/>
      <w:r w:rsidR="0068523A" w:rsidRPr="0068523A">
        <w:rPr>
          <w:b/>
          <w:i/>
          <w:color w:val="0000FF"/>
        </w:rPr>
        <w:t>№ 323 «Об основах охраны здоровья граждан в Российской Федерации», Приказом Министерства здравоохранения РФ от 09.04.2015 № 178н «Об утверждении Порядка оказания медицинской помощи населению по профилю «</w:t>
      </w:r>
      <w:proofErr w:type="spellStart"/>
      <w:r w:rsidR="0068523A" w:rsidRPr="0068523A">
        <w:rPr>
          <w:b/>
          <w:i/>
          <w:color w:val="0000FF"/>
        </w:rPr>
        <w:t>сурдология</w:t>
      </w:r>
      <w:proofErr w:type="spellEnd"/>
      <w:r w:rsidR="0068523A" w:rsidRPr="0068523A">
        <w:rPr>
          <w:b/>
          <w:i/>
          <w:color w:val="0000FF"/>
        </w:rPr>
        <w:t xml:space="preserve">-оториноларингология» наличия лицензии на осуществление медицинской деятельности: </w:t>
      </w:r>
      <w:proofErr w:type="spellStart"/>
      <w:r w:rsidR="0068523A" w:rsidRPr="0068523A">
        <w:rPr>
          <w:b/>
          <w:i/>
          <w:color w:val="0000FF"/>
        </w:rPr>
        <w:t>сурдология</w:t>
      </w:r>
      <w:proofErr w:type="spellEnd"/>
      <w:r w:rsidR="0068523A" w:rsidRPr="0068523A">
        <w:rPr>
          <w:b/>
          <w:i/>
          <w:color w:val="0000FF"/>
        </w:rPr>
        <w:t xml:space="preserve"> – оториноларингология, Соисполнитель должен иметь вышеуказанную лицензию, действующую на территории Омской области;</w:t>
      </w:r>
      <w:bookmarkStart w:id="0" w:name="_GoBack"/>
      <w:bookmarkEnd w:id="0"/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r w:rsidRPr="00C6236E">
        <w:t xml:space="preserve">2) </w:t>
      </w:r>
      <w:r w:rsidRPr="003C2FA3">
        <w:rPr>
          <w:b/>
          <w:color w:val="0000FF"/>
        </w:rPr>
        <w:t>не проведение ликвидации участника закупки</w:t>
      </w:r>
      <w:r w:rsidRPr="00C6236E">
        <w:t xml:space="preserve">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r w:rsidRPr="00C6236E">
        <w:t xml:space="preserve">3) </w:t>
      </w:r>
      <w:r w:rsidRPr="003C2FA3">
        <w:rPr>
          <w:b/>
          <w:color w:val="0000FF"/>
        </w:rPr>
        <w:t>не приостановление деятельности участника закупки</w:t>
      </w:r>
      <w:r w:rsidRPr="00C6236E">
        <w:t xml:space="preserve">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proofErr w:type="gramStart"/>
      <w:r w:rsidRPr="00C6236E">
        <w:t xml:space="preserve">4) </w:t>
      </w:r>
      <w:r w:rsidRPr="003C2FA3">
        <w:rPr>
          <w:b/>
          <w:color w:val="0000FF"/>
        </w:rPr>
        <w:t>отсутствие у участника закупки недоимки по налогам, сборам,</w:t>
      </w:r>
      <w:r w:rsidRPr="00C6236E">
        <w:t xml:space="preserve">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C6236E">
        <w:t xml:space="preserve"> обязанности </w:t>
      </w:r>
      <w:proofErr w:type="gramStart"/>
      <w:r w:rsidRPr="00C6236E">
        <w:t>заявителя</w:t>
      </w:r>
      <w:proofErr w:type="gramEnd"/>
      <w:r w:rsidRPr="00C6236E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6236E">
        <w:t>указанных</w:t>
      </w:r>
      <w:proofErr w:type="gramEnd"/>
      <w:r w:rsidRPr="00C6236E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proofErr w:type="gramStart"/>
      <w:r w:rsidRPr="00C6236E">
        <w:t xml:space="preserve">5) </w:t>
      </w:r>
      <w:r w:rsidRPr="003C2FA3">
        <w:rPr>
          <w:b/>
          <w:color w:val="0000FF"/>
        </w:rPr>
        <w:t>отсутствие</w:t>
      </w:r>
      <w:r w:rsidRPr="00C6236E">
        <w:t xml:space="preserve">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</w:t>
      </w:r>
      <w:r w:rsidRPr="003C2FA3">
        <w:rPr>
          <w:b/>
          <w:color w:val="0000FF"/>
        </w:rPr>
        <w:t>судимости за преступления в сфере экономики</w:t>
      </w:r>
      <w:r w:rsidRPr="00C6236E">
        <w:t xml:space="preserve">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C6236E">
        <w:t xml:space="preserve"> </w:t>
      </w:r>
      <w:proofErr w:type="gramStart"/>
      <w:r w:rsidRPr="00C6236E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r w:rsidRPr="00C6236E">
        <w:t xml:space="preserve">5.1) участник закупки - юридическое лицо, которое в течение двух лет до момента подачи заявки на участие в закупке </w:t>
      </w:r>
      <w:r w:rsidRPr="003C2FA3">
        <w:rPr>
          <w:b/>
          <w:color w:val="0000FF"/>
        </w:rPr>
        <w:t>не было привлечено к административной ответственности</w:t>
      </w:r>
      <w:r w:rsidRPr="00C6236E">
        <w:rPr>
          <w:color w:val="0000FF"/>
        </w:rPr>
        <w:t xml:space="preserve"> </w:t>
      </w:r>
      <w:r w:rsidRPr="00C6236E">
        <w:t xml:space="preserve">за совершение административного правонарушения, предусмотренного </w:t>
      </w:r>
      <w:r w:rsidRPr="00C6236E">
        <w:rPr>
          <w:color w:val="0000FF"/>
        </w:rPr>
        <w:t>статьей 19.28</w:t>
      </w:r>
      <w:r w:rsidRPr="00C6236E">
        <w:t xml:space="preserve"> Кодекса Российской Федерации об административных правонарушениях;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r w:rsidRPr="00C6236E">
        <w:lastRenderedPageBreak/>
        <w:t xml:space="preserve">6) </w:t>
      </w:r>
      <w:r w:rsidRPr="00C6236E">
        <w:rPr>
          <w:color w:val="0066FF"/>
        </w:rPr>
        <w:t xml:space="preserve">обладание участником закупки </w:t>
      </w:r>
      <w:r w:rsidRPr="00671430">
        <w:rPr>
          <w:b/>
          <w:color w:val="0066FF"/>
        </w:rPr>
        <w:t>исключительными правами</w:t>
      </w:r>
      <w:r w:rsidRPr="00C6236E">
        <w:rPr>
          <w:color w:val="0066FF"/>
        </w:rPr>
        <w:t xml:space="preserve"> на результаты интеллектуальной деятельности</w:t>
      </w:r>
      <w:r w:rsidRPr="00C6236E">
        <w:t xml:space="preserve">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3C2FA3">
        <w:rPr>
          <w:b/>
          <w:color w:val="0000FF"/>
        </w:rPr>
        <w:t>не установлено;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proofErr w:type="gramStart"/>
      <w:r w:rsidRPr="00C6236E">
        <w:t xml:space="preserve">7) отсутствие между участником закупки и заказчиком </w:t>
      </w:r>
      <w:r w:rsidRPr="00671430">
        <w:rPr>
          <w:b/>
          <w:color w:val="0000FF"/>
        </w:rPr>
        <w:t>конфликта интересов</w:t>
      </w:r>
      <w:r w:rsidRPr="00C6236E">
        <w:rPr>
          <w:color w:val="0000FF"/>
        </w:rPr>
        <w:t>,</w:t>
      </w:r>
      <w:r w:rsidRPr="00C6236E">
        <w:t xml:space="preserve">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C6236E">
        <w:t xml:space="preserve"> </w:t>
      </w:r>
      <w:proofErr w:type="gramStart"/>
      <w:r w:rsidRPr="00C6236E">
        <w:t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C6236E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  <w:rPr>
          <w:color w:val="0000FF"/>
        </w:rPr>
      </w:pPr>
      <w:r w:rsidRPr="00C6236E">
        <w:t xml:space="preserve">8) участник закупки не является </w:t>
      </w:r>
      <w:r w:rsidRPr="00C6236E">
        <w:rPr>
          <w:color w:val="0000FF"/>
        </w:rPr>
        <w:t>офшорной компанией;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  <w:rPr>
          <w:rFonts w:eastAsia="Calibri"/>
        </w:rPr>
      </w:pPr>
      <w:r w:rsidRPr="00C6236E">
        <w:rPr>
          <w:rFonts w:eastAsia="Calibri"/>
        </w:rPr>
        <w:t xml:space="preserve">9) отсутствие у участника </w:t>
      </w:r>
      <w:r w:rsidRPr="00C6236E">
        <w:rPr>
          <w:rFonts w:eastAsia="Calibri"/>
          <w:color w:val="0000FF"/>
        </w:rPr>
        <w:t>закупки ограничений для участия в закупках</w:t>
      </w:r>
      <w:r w:rsidRPr="00C6236E">
        <w:rPr>
          <w:rFonts w:eastAsia="Calibri"/>
        </w:rPr>
        <w:t>, установленных законодательством Российской Федерации.</w:t>
      </w:r>
    </w:p>
    <w:p w:rsidR="005D079D" w:rsidRDefault="005D079D" w:rsidP="00853753">
      <w:pPr>
        <w:widowControl w:val="0"/>
        <w:tabs>
          <w:tab w:val="left" w:pos="-360"/>
          <w:tab w:val="left" w:pos="0"/>
          <w:tab w:val="left" w:pos="567"/>
        </w:tabs>
        <w:suppressAutoHyphens w:val="0"/>
        <w:spacing w:before="100"/>
        <w:jc w:val="both"/>
      </w:pPr>
      <w:r w:rsidRPr="00C6236E">
        <w:t xml:space="preserve">Заказчиком установлено требование об </w:t>
      </w:r>
      <w:r w:rsidRPr="00C6236E">
        <w:rPr>
          <w:color w:val="0000FF"/>
        </w:rPr>
        <w:t>отсутствии в предусмотренном Законом реестре недобросовестных поставщиков</w:t>
      </w:r>
      <w:r w:rsidRPr="000F2198">
        <w:rPr>
          <w:color w:val="0000FF"/>
        </w:rPr>
        <w:t xml:space="preserve"> </w:t>
      </w:r>
      <w:r w:rsidRPr="0055416A">
        <w:t>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15515F" w:rsidRDefault="005D079D" w:rsidP="00853753">
      <w:pPr>
        <w:jc w:val="both"/>
      </w:pPr>
      <w:r w:rsidRPr="006D1773">
        <w:rPr>
          <w:i/>
          <w:color w:val="0000FF"/>
        </w:rPr>
        <w:t>Указанные требования предъявляются в равной мере ко всем участникам закупки</w:t>
      </w:r>
      <w:r w:rsidRPr="006D1773">
        <w:t>.</w:t>
      </w:r>
    </w:p>
    <w:sectPr w:rsidR="0015515F" w:rsidSect="00DB2B6F">
      <w:pgSz w:w="11905" w:h="16837"/>
      <w:pgMar w:top="1134" w:right="567" w:bottom="709" w:left="993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BC"/>
    <w:rsid w:val="000D14D9"/>
    <w:rsid w:val="005D079D"/>
    <w:rsid w:val="00652ABC"/>
    <w:rsid w:val="0068523A"/>
    <w:rsid w:val="00853753"/>
    <w:rsid w:val="00856029"/>
    <w:rsid w:val="00CD41DD"/>
    <w:rsid w:val="00DB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Каспорт</dc:creator>
  <cp:lastModifiedBy>Каспорт</cp:lastModifiedBy>
  <cp:revision>2</cp:revision>
  <dcterms:created xsi:type="dcterms:W3CDTF">2019-03-19T11:59:00Z</dcterms:created>
  <dcterms:modified xsi:type="dcterms:W3CDTF">2019-03-19T11:59:00Z</dcterms:modified>
</cp:coreProperties>
</file>