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577DBE" w:rsidRPr="00577DBE" w:rsidRDefault="00D141C3" w:rsidP="00577DBE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являющихся объектом </w:t>
      </w:r>
      <w:proofErr w:type="spellStart"/>
      <w:r>
        <w:rPr>
          <w:sz w:val="24"/>
          <w:szCs w:val="24"/>
        </w:rPr>
        <w:t>закупки</w:t>
      </w:r>
      <w:proofErr w:type="gramStart"/>
      <w:r>
        <w:rPr>
          <w:sz w:val="24"/>
          <w:szCs w:val="24"/>
        </w:rPr>
        <w:t>:</w:t>
      </w:r>
      <w:r w:rsidR="00577DBE" w:rsidRPr="00577DBE">
        <w:rPr>
          <w:sz w:val="24"/>
          <w:szCs w:val="24"/>
        </w:rPr>
        <w:t>в</w:t>
      </w:r>
      <w:proofErr w:type="spellEnd"/>
      <w:proofErr w:type="gramEnd"/>
      <w:r w:rsidR="00577DBE" w:rsidRPr="00577DBE">
        <w:rPr>
          <w:sz w:val="24"/>
          <w:szCs w:val="24"/>
        </w:rPr>
        <w:t xml:space="preserve"> соответствии с частью 2 статьи 52 Градостроительного кодекса РФ 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строительства; </w:t>
      </w:r>
      <w:proofErr w:type="gramStart"/>
      <w:r w:rsidR="00577DBE" w:rsidRPr="00577DBE">
        <w:rPr>
          <w:sz w:val="24"/>
          <w:szCs w:val="24"/>
        </w:rPr>
        <w:t>при этом саморегулируемая организация, в которой состоит Участник закупки, должна иметь компенсационный фонд обеспечения договорных обязательств, сформированный в соответствии со статьями 55.4 и 55.16  Градостроительного кодекса РФ, а совокупный размер обязательств Участника закупки по договорам, которые заключены с использованием конкурентных способов, не должен превышать предельный размер обязательств Участника закупки, исходя из которого таким Участником был внесен взнос в компенсационный фонд</w:t>
      </w:r>
      <w:proofErr w:type="gramEnd"/>
      <w:r w:rsidR="00577DBE" w:rsidRPr="00577DBE">
        <w:rPr>
          <w:sz w:val="24"/>
          <w:szCs w:val="24"/>
        </w:rPr>
        <w:t xml:space="preserve"> обеспечения договорных обязательств в соответствии с  частью 13 статьи 55.16 Градостроительного кодекса РФ (в том числе с учетом возможного заключения контракта, являющегося предметом настоящего аукциона), то есть не должен превышать уровень ответственности Участника закупки по компенсационному фонду обеспечения договорных обязательств*.</w:t>
      </w:r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r w:rsidRPr="00577DBE">
        <w:rPr>
          <w:sz w:val="24"/>
          <w:szCs w:val="24"/>
        </w:rPr>
        <w:t>* Исключение составляют – случаи, указанные в части 2.2 статьи 52 Градостроительного кодекса РФ, а также случай, предусмотренный частью 2.1 статьи 52 Градостроительного кодекса РФ  – не требуется членство в саморегулируемых организациях в области строительства, реконструкции, капитального ремонта объектов капитального строительства:</w:t>
      </w:r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577DBE">
        <w:rPr>
          <w:sz w:val="24"/>
          <w:szCs w:val="24"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</w:t>
      </w:r>
      <w:proofErr w:type="gramEnd"/>
      <w:r w:rsidRPr="00577DBE">
        <w:rPr>
          <w:sz w:val="24"/>
          <w:szCs w:val="24"/>
        </w:rPr>
        <w:t>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577DBE">
        <w:rPr>
          <w:sz w:val="24"/>
          <w:szCs w:val="24"/>
        </w:rPr>
        <w:t>2) коммерческих организаций, в уставных (складочных) капиталах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</w:t>
      </w:r>
      <w:proofErr w:type="gramEnd"/>
      <w:r w:rsidRPr="00577DBE">
        <w:rPr>
          <w:sz w:val="24"/>
          <w:szCs w:val="24"/>
        </w:rPr>
        <w:t xml:space="preserve">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577DBE">
        <w:rPr>
          <w:sz w:val="24"/>
          <w:szCs w:val="24"/>
        </w:rPr>
        <w:t xml:space="preserve">3) юридических лиц, созданных публично-правовыми образованиями (за исключением юридических лиц, предусмотренных пунктом 1настоящей части), в случае заключения </w:t>
      </w:r>
      <w:r w:rsidRPr="00577DBE">
        <w:rPr>
          <w:sz w:val="24"/>
          <w:szCs w:val="24"/>
        </w:rPr>
        <w:lastRenderedPageBreak/>
        <w:t>указанными юридическими лицами договоров строительного подряда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</w:t>
      </w:r>
      <w:proofErr w:type="gramEnd"/>
      <w:r w:rsidRPr="00577DBE">
        <w:rPr>
          <w:sz w:val="24"/>
          <w:szCs w:val="24"/>
        </w:rPr>
        <w:t xml:space="preserve">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</w:t>
      </w:r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r w:rsidRPr="00577DBE">
        <w:rPr>
          <w:sz w:val="24"/>
          <w:szCs w:val="24"/>
        </w:rPr>
        <w:t xml:space="preserve"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</w:t>
      </w:r>
      <w:proofErr w:type="gramStart"/>
      <w:r w:rsidRPr="00577DBE">
        <w:rPr>
          <w:sz w:val="24"/>
          <w:szCs w:val="24"/>
        </w:rPr>
        <w:t>сферах</w:t>
      </w:r>
      <w:proofErr w:type="gramEnd"/>
      <w:r w:rsidRPr="00577DBE">
        <w:rPr>
          <w:sz w:val="24"/>
          <w:szCs w:val="24"/>
        </w:rPr>
        <w:t xml:space="preserve">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</w:t>
      </w:r>
      <w:proofErr w:type="gramStart"/>
      <w:r w:rsidRPr="00577DBE">
        <w:rPr>
          <w:sz w:val="24"/>
          <w:szCs w:val="24"/>
        </w:rPr>
        <w:t>имени этих федеральных органов исполнительной власти, органов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</w:t>
      </w:r>
      <w:proofErr w:type="gramEnd"/>
      <w:r w:rsidRPr="00577DBE">
        <w:rPr>
          <w:sz w:val="24"/>
          <w:szCs w:val="24"/>
        </w:rPr>
        <w:t xml:space="preserve"> </w:t>
      </w:r>
      <w:proofErr w:type="gramStart"/>
      <w:r w:rsidRPr="00577DBE">
        <w:rPr>
          <w:sz w:val="24"/>
          <w:szCs w:val="24"/>
        </w:rPr>
        <w:t>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  <w:proofErr w:type="gramEnd"/>
    </w:p>
    <w:p w:rsidR="00577DBE" w:rsidRPr="00577DBE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r w:rsidRPr="00577DBE">
        <w:rPr>
          <w:sz w:val="24"/>
          <w:szCs w:val="24"/>
        </w:rPr>
        <w:t xml:space="preserve">5) физических лиц, 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</w:t>
      </w:r>
      <w:proofErr w:type="spellStart"/>
      <w:r w:rsidRPr="00577DBE">
        <w:rPr>
          <w:sz w:val="24"/>
          <w:szCs w:val="24"/>
        </w:rPr>
        <w:t>ГрК</w:t>
      </w:r>
      <w:proofErr w:type="spellEnd"/>
      <w:r w:rsidRPr="00577DBE">
        <w:rPr>
          <w:sz w:val="24"/>
          <w:szCs w:val="24"/>
        </w:rPr>
        <w:t xml:space="preserve"> РФ.</w:t>
      </w:r>
    </w:p>
    <w:p w:rsidR="00D141C3" w:rsidRPr="00A00848" w:rsidRDefault="00577DBE" w:rsidP="00577DBE">
      <w:pPr>
        <w:spacing w:before="100" w:beforeAutospacing="1" w:after="100" w:afterAutospacing="1"/>
        <w:jc w:val="both"/>
        <w:rPr>
          <w:sz w:val="24"/>
          <w:szCs w:val="24"/>
        </w:rPr>
      </w:pPr>
      <w:r w:rsidRPr="00577DBE">
        <w:rPr>
          <w:sz w:val="24"/>
          <w:szCs w:val="24"/>
        </w:rPr>
        <w:t>6) Участников закупки, которые предложат цену контракта не превышающую трех миллионов рублей.</w:t>
      </w:r>
      <w:r w:rsidR="00D141C3">
        <w:rPr>
          <w:sz w:val="24"/>
          <w:szCs w:val="24"/>
        </w:rPr>
        <w:t xml:space="preserve">2. </w:t>
      </w:r>
      <w:proofErr w:type="spellStart"/>
      <w:r w:rsidR="00D141C3">
        <w:rPr>
          <w:sz w:val="24"/>
          <w:szCs w:val="24"/>
        </w:rPr>
        <w:t>Н</w:t>
      </w:r>
      <w:r w:rsidR="00D141C3" w:rsidRPr="00A00848">
        <w:rPr>
          <w:sz w:val="24"/>
          <w:szCs w:val="24"/>
        </w:rPr>
        <w:t>епроведение</w:t>
      </w:r>
      <w:proofErr w:type="spellEnd"/>
      <w:r w:rsidR="00D141C3" w:rsidRPr="00A00848">
        <w:rPr>
          <w:sz w:val="24"/>
          <w:szCs w:val="24"/>
        </w:rPr>
        <w:t xml:space="preserve">   ликвидации   участника закупки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юридического лица и отсутствие решения арбитражного суда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1C3">
        <w:rPr>
          <w:sz w:val="24"/>
          <w:szCs w:val="24"/>
        </w:rPr>
        <w:t xml:space="preserve">. </w:t>
      </w:r>
      <w:proofErr w:type="spellStart"/>
      <w:r w:rsidR="00D141C3">
        <w:rPr>
          <w:sz w:val="24"/>
          <w:szCs w:val="24"/>
        </w:rPr>
        <w:t>Н</w:t>
      </w:r>
      <w:r w:rsidR="00D141C3" w:rsidRPr="00A00848">
        <w:rPr>
          <w:sz w:val="24"/>
          <w:szCs w:val="24"/>
        </w:rPr>
        <w:t>еприостановление</w:t>
      </w:r>
      <w:proofErr w:type="spellEnd"/>
      <w:r w:rsidR="00D141C3"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41C3">
        <w:rPr>
          <w:sz w:val="24"/>
          <w:szCs w:val="24"/>
        </w:rPr>
        <w:t xml:space="preserve">. </w:t>
      </w:r>
      <w:proofErr w:type="gramStart"/>
      <w:r w:rsidR="00D141C3">
        <w:rPr>
          <w:sz w:val="24"/>
          <w:szCs w:val="24"/>
        </w:rPr>
        <w:t>О</w:t>
      </w:r>
      <w:r w:rsidR="00D141C3"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D141C3" w:rsidRPr="00A00848">
        <w:rPr>
          <w:sz w:val="24"/>
          <w:szCs w:val="24"/>
        </w:rPr>
        <w:t xml:space="preserve"> </w:t>
      </w:r>
      <w:proofErr w:type="gramStart"/>
      <w:r w:rsidR="00D141C3" w:rsidRPr="00A00848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</w:t>
      </w:r>
      <w:r w:rsidR="00D141C3" w:rsidRPr="00A00848">
        <w:rPr>
          <w:sz w:val="24"/>
          <w:szCs w:val="24"/>
        </w:rPr>
        <w:lastRenderedPageBreak/>
        <w:t>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="00D141C3"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D141C3" w:rsidRPr="00A00848">
        <w:rPr>
          <w:sz w:val="24"/>
          <w:szCs w:val="24"/>
        </w:rPr>
        <w:t>указанных</w:t>
      </w:r>
      <w:proofErr w:type="gramEnd"/>
      <w:r w:rsidR="00D141C3"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41C3">
        <w:rPr>
          <w:sz w:val="24"/>
          <w:szCs w:val="24"/>
        </w:rPr>
        <w:t>. О</w:t>
      </w:r>
      <w:r w:rsidR="00D141C3"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="00D141C3"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41C3">
        <w:rPr>
          <w:sz w:val="24"/>
          <w:szCs w:val="24"/>
        </w:rPr>
        <w:t>.1. У</w:t>
      </w:r>
      <w:r w:rsidR="00D141C3"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41C3">
        <w:rPr>
          <w:sz w:val="24"/>
          <w:szCs w:val="24"/>
        </w:rPr>
        <w:t>. О</w:t>
      </w:r>
      <w:r w:rsidR="00D141C3" w:rsidRPr="00A00848">
        <w:rPr>
          <w:sz w:val="24"/>
          <w:szCs w:val="24"/>
        </w:rPr>
        <w:t>бладание участником закупки исключительными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правами на результаты интеллектуальной деятельности, если в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связи с исполнением контракта заказчик приобретает права на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41C3">
        <w:rPr>
          <w:sz w:val="24"/>
          <w:szCs w:val="24"/>
        </w:rPr>
        <w:t xml:space="preserve">. </w:t>
      </w:r>
      <w:proofErr w:type="gramStart"/>
      <w:r w:rsidR="00D141C3">
        <w:rPr>
          <w:sz w:val="24"/>
          <w:szCs w:val="24"/>
        </w:rPr>
        <w:t>О</w:t>
      </w:r>
      <w:r w:rsidR="00D141C3" w:rsidRPr="00A00848">
        <w:rPr>
          <w:sz w:val="24"/>
          <w:szCs w:val="24"/>
        </w:rPr>
        <w:t>тсутствие между участником закупки и заказчиком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конфликта интересов, под которым понимаются случаи, при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которых руководитель заказчика, член комиссии по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осуществлению закупок, руководитель контрактной службы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заказчика, контрактный управляющий состоят в браке с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физическими лицами, являющимися выгодоприобретателями,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единоличным исполнительным органом хозяйственного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общества (директором, генеральным директором,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управляющим, президентом и другими), членами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коллегиального исполнительного органа хозяйственного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общества, руководителем (директором, генеральным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директором) учреждения или унитарного</w:t>
      </w:r>
      <w:proofErr w:type="gramEnd"/>
      <w:r w:rsidR="00D141C3" w:rsidRPr="00A00848">
        <w:rPr>
          <w:sz w:val="24"/>
          <w:szCs w:val="24"/>
        </w:rPr>
        <w:t xml:space="preserve"> </w:t>
      </w:r>
      <w:proofErr w:type="gramStart"/>
      <w:r w:rsidR="00D141C3" w:rsidRPr="00A00848">
        <w:rPr>
          <w:sz w:val="24"/>
          <w:szCs w:val="24"/>
        </w:rPr>
        <w:t>предприятия либо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 xml:space="preserve">иными органами управления юридических лиц </w:t>
      </w:r>
      <w:r w:rsidR="00D141C3">
        <w:rPr>
          <w:sz w:val="24"/>
          <w:szCs w:val="24"/>
        </w:rPr>
        <w:t>–</w:t>
      </w:r>
      <w:r w:rsidR="00D141C3" w:rsidRPr="00A00848">
        <w:rPr>
          <w:sz w:val="24"/>
          <w:szCs w:val="24"/>
        </w:rPr>
        <w:t xml:space="preserve"> участников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закупки, с физическими лицами, в том числе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зарегистрированными в качестве индивидуального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предпринимателя, - участниками закупки либо являются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близкими родственниками (родственниками по прямой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восходящей и нисходящей линии (родителями и детьми,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дедушкой, бабушкой и внуками), полнородными и</w:t>
      </w:r>
      <w:r w:rsidR="00D141C3">
        <w:rPr>
          <w:sz w:val="24"/>
          <w:szCs w:val="24"/>
        </w:rPr>
        <w:t xml:space="preserve"> </w:t>
      </w:r>
      <w:proofErr w:type="spellStart"/>
      <w:r w:rsidR="00D141C3" w:rsidRPr="00A00848">
        <w:rPr>
          <w:sz w:val="24"/>
          <w:szCs w:val="24"/>
        </w:rPr>
        <w:t>неполнородными</w:t>
      </w:r>
      <w:proofErr w:type="spellEnd"/>
      <w:r w:rsidR="00D141C3" w:rsidRPr="00A00848">
        <w:rPr>
          <w:sz w:val="24"/>
          <w:szCs w:val="24"/>
        </w:rPr>
        <w:t xml:space="preserve"> (имеющими общих отца или мать) братьями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и сестрами), усыновителями или усыновленными указанных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физических лиц.</w:t>
      </w:r>
      <w:proofErr w:type="gramEnd"/>
      <w:r w:rsidR="00D141C3" w:rsidRPr="00A00848">
        <w:rPr>
          <w:sz w:val="24"/>
          <w:szCs w:val="24"/>
        </w:rPr>
        <w:t xml:space="preserve"> Под выгодоприобретателями понимаются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физические лица, владеющие напрямую или косвенно (через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юридическое лицо или через несколько юридических лиц)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более чем десятью процентами голосующих акций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хозяйственного общества либо долей, превышающей десять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577DBE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141C3">
        <w:rPr>
          <w:sz w:val="24"/>
          <w:szCs w:val="24"/>
        </w:rPr>
        <w:t>. У</w:t>
      </w:r>
      <w:r w:rsidR="00D141C3"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577DBE" w:rsidP="00D141C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141C3">
        <w:rPr>
          <w:sz w:val="24"/>
          <w:szCs w:val="24"/>
        </w:rPr>
        <w:t>. О</w:t>
      </w:r>
      <w:r w:rsidR="00D141C3" w:rsidRPr="00A00848">
        <w:rPr>
          <w:sz w:val="24"/>
          <w:szCs w:val="24"/>
        </w:rPr>
        <w:t>тсутствие у участника закупки ограничений для участия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в закупках, установленных законодательством Российской</w:t>
      </w:r>
      <w:r w:rsidR="00D141C3">
        <w:rPr>
          <w:sz w:val="24"/>
          <w:szCs w:val="24"/>
        </w:rPr>
        <w:t xml:space="preserve"> </w:t>
      </w:r>
      <w:r w:rsidR="00D141C3" w:rsidRPr="00A00848">
        <w:rPr>
          <w:sz w:val="24"/>
          <w:szCs w:val="24"/>
        </w:rPr>
        <w:t>Федерации.</w:t>
      </w:r>
    </w:p>
    <w:p w:rsidR="006115B7" w:rsidRDefault="006115B7" w:rsidP="00D141C3">
      <w:pPr>
        <w:rPr>
          <w:sz w:val="24"/>
          <w:szCs w:val="24"/>
        </w:rPr>
      </w:pPr>
    </w:p>
    <w:p w:rsidR="006115B7" w:rsidRPr="006115B7" w:rsidRDefault="00577DBE" w:rsidP="006115B7">
      <w:pPr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6115B7" w:rsidRPr="006115B7">
        <w:rPr>
          <w:sz w:val="24"/>
          <w:szCs w:val="24"/>
        </w:rPr>
        <w:t>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6115B7" w:rsidRDefault="006115B7" w:rsidP="00D141C3"/>
    <w:sectPr w:rsidR="006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577DBE"/>
    <w:rsid w:val="006115B7"/>
    <w:rsid w:val="00614A3D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3</cp:revision>
  <dcterms:created xsi:type="dcterms:W3CDTF">2019-04-12T01:18:00Z</dcterms:created>
  <dcterms:modified xsi:type="dcterms:W3CDTF">2019-04-18T08:14:00Z</dcterms:modified>
</cp:coreProperties>
</file>