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00" w:type="dxa"/>
        <w:tblLayout w:type="fixed"/>
        <w:tblLook w:val="04A0" w:firstRow="1" w:lastRow="0" w:firstColumn="1" w:lastColumn="0" w:noHBand="0" w:noVBand="1"/>
      </w:tblPr>
      <w:tblGrid>
        <w:gridCol w:w="3750"/>
        <w:gridCol w:w="6450"/>
      </w:tblGrid>
      <w:tr w:rsidR="00DF2C22" w:rsidTr="00DF2C22">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F2C22" w:rsidRDefault="00DF2C22">
            <w:pPr>
              <w:widowControl w:val="0"/>
              <w:jc w:val="center"/>
              <w:rPr>
                <w:sz w:val="22"/>
                <w:szCs w:val="22"/>
              </w:rPr>
            </w:pPr>
            <w:r>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450" w:type="dxa"/>
            <w:tcBorders>
              <w:top w:val="single" w:sz="4" w:space="0" w:color="auto"/>
              <w:left w:val="single" w:sz="4" w:space="0" w:color="auto"/>
              <w:bottom w:val="single" w:sz="4" w:space="0" w:color="auto"/>
              <w:right w:val="single" w:sz="4" w:space="0" w:color="auto"/>
            </w:tcBorders>
            <w:vAlign w:val="center"/>
            <w:hideMark/>
          </w:tcPr>
          <w:p w:rsidR="00DF2C22" w:rsidRDefault="00DF2C22">
            <w:pPr>
              <w:widowControl w:val="0"/>
              <w:snapToGrid w:val="0"/>
              <w:jc w:val="left"/>
              <w:rPr>
                <w:color w:val="000000" w:themeColor="text1"/>
                <w:sz w:val="22"/>
                <w:szCs w:val="22"/>
              </w:rPr>
            </w:pPr>
            <w:r>
              <w:rPr>
                <w:rFonts w:cs="Calibri"/>
                <w:color w:val="000000"/>
                <w:spacing w:val="3"/>
                <w:sz w:val="22"/>
                <w:szCs w:val="22"/>
                <w:lang w:eastAsia="ar-SA"/>
              </w:rPr>
              <w:t>Не установлено</w:t>
            </w:r>
          </w:p>
        </w:tc>
      </w:tr>
      <w:tr w:rsidR="00DF2C22" w:rsidTr="00DF2C22">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F2C22" w:rsidRDefault="00DF2C22">
            <w:pPr>
              <w:widowControl w:val="0"/>
              <w:jc w:val="center"/>
              <w:rPr>
                <w:sz w:val="22"/>
                <w:szCs w:val="22"/>
              </w:rPr>
            </w:pPr>
            <w:r>
              <w:rPr>
                <w:sz w:val="22"/>
                <w:szCs w:val="22"/>
              </w:rPr>
              <w:t>Преимущества, предоставляемые Заказчиком в соответствии со ст. 28 и ст. 29 Федерального закона №44-ФЗ</w:t>
            </w:r>
          </w:p>
        </w:tc>
        <w:tc>
          <w:tcPr>
            <w:tcW w:w="6450" w:type="dxa"/>
            <w:tcBorders>
              <w:top w:val="single" w:sz="4" w:space="0" w:color="auto"/>
              <w:left w:val="single" w:sz="4" w:space="0" w:color="auto"/>
              <w:bottom w:val="single" w:sz="4" w:space="0" w:color="auto"/>
              <w:right w:val="single" w:sz="4" w:space="0" w:color="auto"/>
            </w:tcBorders>
            <w:vAlign w:val="center"/>
            <w:hideMark/>
          </w:tcPr>
          <w:p w:rsidR="00DF2C22" w:rsidRDefault="00DF2C22">
            <w:pPr>
              <w:widowControl w:val="0"/>
              <w:snapToGrid w:val="0"/>
              <w:rPr>
                <w:color w:val="000000" w:themeColor="text1"/>
                <w:sz w:val="22"/>
                <w:szCs w:val="22"/>
              </w:rPr>
            </w:pPr>
            <w:r>
              <w:rPr>
                <w:rFonts w:cs="Calibri"/>
                <w:color w:val="000000"/>
                <w:spacing w:val="3"/>
                <w:sz w:val="22"/>
                <w:szCs w:val="22"/>
                <w:lang w:eastAsia="ar-SA"/>
              </w:rPr>
              <w:t>Предоставлено преимущество организациям инвалидов – 15%</w:t>
            </w:r>
          </w:p>
        </w:tc>
      </w:tr>
      <w:tr w:rsidR="00DF2C22" w:rsidTr="00DF2C22">
        <w:trPr>
          <w:trHeight w:val="2154"/>
        </w:trPr>
        <w:tc>
          <w:tcPr>
            <w:tcW w:w="3750" w:type="dxa"/>
            <w:tcBorders>
              <w:top w:val="single" w:sz="4" w:space="0" w:color="auto"/>
              <w:left w:val="single" w:sz="4" w:space="0" w:color="auto"/>
              <w:bottom w:val="single" w:sz="4" w:space="0" w:color="auto"/>
              <w:right w:val="single" w:sz="4" w:space="0" w:color="auto"/>
            </w:tcBorders>
            <w:vAlign w:val="center"/>
            <w:hideMark/>
          </w:tcPr>
          <w:p w:rsidR="00DF2C22" w:rsidRDefault="00DF2C22">
            <w:pPr>
              <w:widowControl w:val="0"/>
              <w:jc w:val="center"/>
              <w:rPr>
                <w:rFonts w:cs="Calibri"/>
                <w:sz w:val="22"/>
                <w:szCs w:val="22"/>
                <w:lang w:eastAsia="ar-SA"/>
              </w:rPr>
            </w:pPr>
            <w:r>
              <w:rPr>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50" w:type="dxa"/>
            <w:tcBorders>
              <w:top w:val="single" w:sz="4" w:space="0" w:color="auto"/>
              <w:left w:val="single" w:sz="4" w:space="0" w:color="auto"/>
              <w:bottom w:val="single" w:sz="4" w:space="0" w:color="auto"/>
              <w:right w:val="single" w:sz="4" w:space="0" w:color="auto"/>
            </w:tcBorders>
            <w:vAlign w:val="center"/>
            <w:hideMark/>
          </w:tcPr>
          <w:p w:rsidR="00DF2C22" w:rsidRDefault="00DF2C22">
            <w:pPr>
              <w:widowControl w:val="0"/>
              <w:snapToGrid w:val="0"/>
              <w:ind w:firstLine="176"/>
              <w:rPr>
                <w:color w:val="000000" w:themeColor="text1"/>
                <w:sz w:val="22"/>
                <w:szCs w:val="22"/>
              </w:rPr>
            </w:pPr>
            <w:r>
              <w:t xml:space="preserve">Не установлено </w:t>
            </w:r>
          </w:p>
        </w:tc>
      </w:tr>
      <w:tr w:rsidR="00DF2C22" w:rsidTr="00DF2C22">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F2C22" w:rsidRDefault="00DF2C22">
            <w:pPr>
              <w:widowControl w:val="0"/>
              <w:jc w:val="center"/>
              <w:rPr>
                <w:b/>
                <w:sz w:val="22"/>
                <w:szCs w:val="22"/>
                <w:lang w:eastAsia="ar-SA"/>
              </w:rPr>
            </w:pPr>
            <w:r>
              <w:rPr>
                <w:sz w:val="22"/>
                <w:szCs w:val="22"/>
              </w:rPr>
              <w:t>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F2C22" w:rsidRDefault="00DF2C22">
            <w:pPr>
              <w:widowControl w:val="0"/>
              <w:autoSpaceDE w:val="0"/>
              <w:autoSpaceDN w:val="0"/>
              <w:adjustRightInd w:val="0"/>
              <w:ind w:firstLine="176"/>
              <w:outlineLvl w:val="1"/>
              <w:rPr>
                <w:sz w:val="22"/>
                <w:szCs w:val="22"/>
              </w:rPr>
            </w:pPr>
            <w:r>
              <w:rPr>
                <w:sz w:val="22"/>
                <w:szCs w:val="22"/>
              </w:rPr>
              <w:t>К участникам закупки устанавливаются следующие единые требования:</w:t>
            </w:r>
          </w:p>
          <w:p w:rsidR="00DF2C22" w:rsidRDefault="00DF2C22">
            <w:pPr>
              <w:autoSpaceDE w:val="0"/>
              <w:autoSpaceDN w:val="0"/>
              <w:adjustRightInd w:val="0"/>
              <w:ind w:firstLine="176"/>
              <w:rPr>
                <w:sz w:val="22"/>
                <w:szCs w:val="22"/>
              </w:rPr>
            </w:pPr>
            <w:r>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F2C22" w:rsidRDefault="00DF2C22">
            <w:pPr>
              <w:autoSpaceDE w:val="0"/>
              <w:autoSpaceDN w:val="0"/>
              <w:adjustRightInd w:val="0"/>
              <w:ind w:firstLine="176"/>
              <w:rPr>
                <w:sz w:val="22"/>
                <w:szCs w:val="22"/>
              </w:rPr>
            </w:pPr>
            <w:r>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F2C22" w:rsidRDefault="00DF2C22">
            <w:pPr>
              <w:autoSpaceDE w:val="0"/>
              <w:autoSpaceDN w:val="0"/>
              <w:adjustRightInd w:val="0"/>
              <w:ind w:firstLine="176"/>
              <w:rPr>
                <w:sz w:val="22"/>
                <w:szCs w:val="22"/>
              </w:rPr>
            </w:pPr>
            <w:r>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F2C22" w:rsidRDefault="00DF2C22">
            <w:pPr>
              <w:autoSpaceDE w:val="0"/>
              <w:autoSpaceDN w:val="0"/>
              <w:adjustRightInd w:val="0"/>
              <w:ind w:firstLine="176"/>
              <w:rPr>
                <w:sz w:val="22"/>
                <w:szCs w:val="22"/>
              </w:rPr>
            </w:pPr>
            <w:r>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2C22" w:rsidRDefault="00DF2C22">
            <w:pPr>
              <w:autoSpaceDE w:val="0"/>
              <w:autoSpaceDN w:val="0"/>
              <w:adjustRightInd w:val="0"/>
              <w:ind w:firstLine="176"/>
              <w:rPr>
                <w:sz w:val="22"/>
                <w:szCs w:val="22"/>
              </w:rPr>
            </w:pPr>
            <w:r>
              <w:rPr>
                <w:sz w:val="22"/>
                <w:szCs w:val="22"/>
              </w:rPr>
              <w:t xml:space="preserve">5) отсутствие у участника закупки - физического лица либо у </w:t>
            </w:r>
            <w:r>
              <w:rPr>
                <w:sz w:val="22"/>
                <w:szCs w:val="22"/>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F2C22" w:rsidRDefault="00DF2C22">
            <w:pPr>
              <w:autoSpaceDE w:val="0"/>
              <w:autoSpaceDN w:val="0"/>
              <w:adjustRightInd w:val="0"/>
              <w:ind w:firstLine="176"/>
              <w:rPr>
                <w:sz w:val="22"/>
                <w:szCs w:val="22"/>
              </w:rPr>
            </w:pPr>
            <w:r>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2C22" w:rsidRDefault="00DF2C22">
            <w:pPr>
              <w:autoSpaceDE w:val="0"/>
              <w:autoSpaceDN w:val="0"/>
              <w:adjustRightInd w:val="0"/>
              <w:ind w:firstLine="176"/>
              <w:rPr>
                <w:sz w:val="22"/>
                <w:szCs w:val="22"/>
              </w:rPr>
            </w:pPr>
            <w:r>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F2C22" w:rsidRDefault="00DF2C22">
            <w:pPr>
              <w:autoSpaceDE w:val="0"/>
              <w:autoSpaceDN w:val="0"/>
              <w:adjustRightInd w:val="0"/>
              <w:ind w:firstLine="176"/>
              <w:rPr>
                <w:sz w:val="22"/>
                <w:szCs w:val="22"/>
              </w:rPr>
            </w:pPr>
            <w:r>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2C22" w:rsidRDefault="00DF2C22">
            <w:pPr>
              <w:autoSpaceDE w:val="0"/>
              <w:autoSpaceDN w:val="0"/>
              <w:adjustRightInd w:val="0"/>
              <w:ind w:firstLine="176"/>
              <w:rPr>
                <w:sz w:val="22"/>
                <w:szCs w:val="22"/>
              </w:rPr>
            </w:pPr>
            <w:r>
              <w:rPr>
                <w:sz w:val="22"/>
                <w:szCs w:val="22"/>
              </w:rPr>
              <w:t>8) участник закупки не является офшорной компанией;</w:t>
            </w:r>
          </w:p>
          <w:p w:rsidR="00DF2C22" w:rsidRDefault="00DF2C22">
            <w:pPr>
              <w:autoSpaceDE w:val="0"/>
              <w:autoSpaceDN w:val="0"/>
              <w:adjustRightInd w:val="0"/>
              <w:ind w:firstLine="176"/>
              <w:rPr>
                <w:rFonts w:eastAsia="Calibri"/>
                <w:sz w:val="22"/>
                <w:szCs w:val="22"/>
              </w:rPr>
            </w:pPr>
            <w:r>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DF2C22" w:rsidRDefault="00DF2C22">
            <w:pPr>
              <w:autoSpaceDE w:val="0"/>
              <w:autoSpaceDN w:val="0"/>
              <w:adjustRightInd w:val="0"/>
              <w:ind w:firstLine="176"/>
              <w:rPr>
                <w:sz w:val="22"/>
                <w:szCs w:val="22"/>
              </w:rPr>
            </w:pPr>
            <w:r>
              <w:rPr>
                <w:sz w:val="22"/>
                <w:szCs w:val="22"/>
              </w:rPr>
              <w:t xml:space="preserve">Заказчиком установлено требование об отсутствии в предусмотренном Законом реестре недобросовестных </w:t>
            </w:r>
            <w:r>
              <w:rPr>
                <w:sz w:val="22"/>
                <w:szCs w:val="22"/>
              </w:rPr>
              <w:lastRenderedPageBreak/>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F2C22" w:rsidTr="00DF2C22">
        <w:tc>
          <w:tcPr>
            <w:tcW w:w="3750" w:type="dxa"/>
            <w:tcBorders>
              <w:top w:val="single" w:sz="4" w:space="0" w:color="auto"/>
              <w:left w:val="single" w:sz="4" w:space="0" w:color="auto"/>
              <w:bottom w:val="single" w:sz="4" w:space="0" w:color="auto"/>
              <w:right w:val="single" w:sz="4" w:space="0" w:color="auto"/>
            </w:tcBorders>
            <w:vAlign w:val="center"/>
            <w:hideMark/>
          </w:tcPr>
          <w:p w:rsidR="00DF2C22" w:rsidRDefault="00DF2C22">
            <w:pPr>
              <w:widowControl w:val="0"/>
              <w:jc w:val="center"/>
              <w:rPr>
                <w:rFonts w:cs="Calibri"/>
                <w:color w:val="000000"/>
                <w:spacing w:val="3"/>
                <w:sz w:val="22"/>
                <w:szCs w:val="22"/>
                <w:lang w:eastAsia="ar-SA"/>
              </w:rPr>
            </w:pPr>
            <w:r>
              <w:rPr>
                <w:rFonts w:cs="Calibri"/>
                <w:color w:val="000000"/>
                <w:spacing w:val="3"/>
                <w:sz w:val="22"/>
                <w:szCs w:val="22"/>
                <w:lang w:eastAsia="ar-SA"/>
              </w:rPr>
              <w:lastRenderedPageBreak/>
              <w:t>Дополнительные 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F2C22" w:rsidRDefault="00DF2C22">
            <w:pPr>
              <w:widowControl w:val="0"/>
              <w:shd w:val="clear" w:color="auto" w:fill="FFFFFF"/>
              <w:snapToGrid w:val="0"/>
              <w:rPr>
                <w:rFonts w:cs="Calibri"/>
                <w:color w:val="000000"/>
                <w:sz w:val="22"/>
                <w:szCs w:val="22"/>
                <w:lang w:eastAsia="ar-SA"/>
              </w:rPr>
            </w:pPr>
            <w:r>
              <w:rPr>
                <w:rFonts w:cs="Calibri"/>
                <w:color w:val="000000"/>
                <w:sz w:val="22"/>
                <w:szCs w:val="22"/>
                <w:lang w:eastAsia="ar-SA"/>
              </w:rPr>
              <w:t>Не установлено</w:t>
            </w:r>
          </w:p>
        </w:tc>
      </w:tr>
      <w:tr w:rsidR="00DF2C22" w:rsidTr="00DF2C22">
        <w:tc>
          <w:tcPr>
            <w:tcW w:w="3750" w:type="dxa"/>
            <w:tcBorders>
              <w:top w:val="single" w:sz="4" w:space="0" w:color="auto"/>
              <w:left w:val="single" w:sz="4" w:space="0" w:color="auto"/>
              <w:bottom w:val="single" w:sz="4" w:space="0" w:color="auto"/>
              <w:right w:val="single" w:sz="4" w:space="0" w:color="auto"/>
            </w:tcBorders>
            <w:vAlign w:val="center"/>
            <w:hideMark/>
          </w:tcPr>
          <w:p w:rsidR="00DF2C22" w:rsidRDefault="00DF2C22">
            <w:pPr>
              <w:widowControl w:val="0"/>
              <w:jc w:val="center"/>
              <w:rPr>
                <w:rFonts w:cs="Calibri"/>
                <w:sz w:val="22"/>
                <w:szCs w:val="22"/>
                <w:lang w:eastAsia="ar-SA"/>
              </w:rPr>
            </w:pPr>
            <w:r>
              <w:rPr>
                <w:rFonts w:cs="Calibri"/>
                <w:sz w:val="22"/>
                <w:szCs w:val="22"/>
                <w:lang w:eastAsia="ar-SA"/>
              </w:rPr>
              <w:t>Перечень документов, которые подтверждают соответствие участников закупок единым требованиям к участникам закупок</w:t>
            </w:r>
          </w:p>
        </w:tc>
        <w:tc>
          <w:tcPr>
            <w:tcW w:w="6450" w:type="dxa"/>
            <w:tcBorders>
              <w:top w:val="single" w:sz="4" w:space="0" w:color="auto"/>
              <w:left w:val="single" w:sz="4" w:space="0" w:color="auto"/>
              <w:bottom w:val="single" w:sz="4" w:space="0" w:color="auto"/>
              <w:right w:val="single" w:sz="4" w:space="0" w:color="auto"/>
            </w:tcBorders>
            <w:vAlign w:val="center"/>
            <w:hideMark/>
          </w:tcPr>
          <w:p w:rsidR="00DF2C22" w:rsidRDefault="00DF2C22" w:rsidP="0061168C">
            <w:pPr>
              <w:widowControl w:val="0"/>
              <w:rPr>
                <w:bCs/>
                <w:sz w:val="22"/>
                <w:szCs w:val="22"/>
              </w:rPr>
            </w:pPr>
            <w:r>
              <w:rPr>
                <w:b/>
              </w:rPr>
              <w:t>Наличие лицензии</w:t>
            </w:r>
            <w:r>
              <w:t xml:space="preserve"> на медицинскую деятельность в соответствии с Федеральным законом от 04.05.2011г. № 99-ФЗ «О лицензировании отдельных видов деятельности» и Постановлением Правительства Российской Федерации от 16.04.2012г.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профилям лечения </w:t>
            </w:r>
            <w:r w:rsidR="007E1ACD">
              <w:t>«</w:t>
            </w:r>
            <w:r w:rsidR="0061168C">
              <w:t>заболевания системы кровообращения,  заболевания</w:t>
            </w:r>
            <w:r w:rsidR="0061168C" w:rsidRPr="00082995">
              <w:t xml:space="preserve"> костно-мышечной с</w:t>
            </w:r>
            <w:r w:rsidR="0061168C">
              <w:t xml:space="preserve">истемы и соединительной ткани,  заболевания нервной системы,  заболевания эндокринной системы,  заболевания органов дыхания, </w:t>
            </w:r>
            <w:r w:rsidR="0061168C" w:rsidRPr="00082995">
              <w:t>заб</w:t>
            </w:r>
            <w:r w:rsidR="0061168C">
              <w:t>олевания</w:t>
            </w:r>
            <w:r w:rsidR="0061168C">
              <w:t xml:space="preserve"> органов пищеварения,</w:t>
            </w:r>
            <w:r w:rsidR="0061168C">
              <w:t xml:space="preserve">  заболевания</w:t>
            </w:r>
            <w:bookmarkStart w:id="0" w:name="_GoBack"/>
            <w:bookmarkEnd w:id="0"/>
            <w:r w:rsidR="0061168C">
              <w:t xml:space="preserve"> мочеполовой системы</w:t>
            </w:r>
            <w:r w:rsidR="007E1ACD">
              <w:t>».</w:t>
            </w:r>
          </w:p>
        </w:tc>
      </w:tr>
    </w:tbl>
    <w:p w:rsidR="001A4439" w:rsidRDefault="001A4439"/>
    <w:sectPr w:rsidR="001A4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C22"/>
    <w:rsid w:val="001A4439"/>
    <w:rsid w:val="0061168C"/>
    <w:rsid w:val="007E1ACD"/>
    <w:rsid w:val="00DF2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C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2C22"/>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C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2C22"/>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48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MAKLEEVA</dc:creator>
  <cp:lastModifiedBy>MAKLEEVA</cp:lastModifiedBy>
  <cp:revision>3</cp:revision>
  <dcterms:created xsi:type="dcterms:W3CDTF">2019-05-28T07:29:00Z</dcterms:created>
  <dcterms:modified xsi:type="dcterms:W3CDTF">2019-05-28T08:34:00Z</dcterms:modified>
</cp:coreProperties>
</file>