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8434E2" w:rsidRPr="008434E2">
        <w:rPr>
          <w:color w:val="000000"/>
          <w:lang w:eastAsia="ru-RU"/>
        </w:rPr>
        <w:t>«</w:t>
      </w:r>
      <w:r w:rsidR="00FA7280" w:rsidRPr="00FA7280">
        <w:rPr>
          <w:color w:val="000000"/>
          <w:lang w:eastAsia="ru-RU"/>
        </w:rPr>
        <w:t>«Терапия», «Педиатрия», «Кардиология», «Урология», «Гастроэнтерология», «Неврология», «Оториноларингология», «Нефрология», «Травматология и ортопедия», «Пульмонология», «Эндокринология», «Психотерапия».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B7BE1"/>
    <w:rsid w:val="001E4A5E"/>
    <w:rsid w:val="001F7A7F"/>
    <w:rsid w:val="00221995"/>
    <w:rsid w:val="002465E4"/>
    <w:rsid w:val="00487199"/>
    <w:rsid w:val="004E0855"/>
    <w:rsid w:val="008434E2"/>
    <w:rsid w:val="00854C2A"/>
    <w:rsid w:val="00A06651"/>
    <w:rsid w:val="00C54D7A"/>
    <w:rsid w:val="00D15930"/>
    <w:rsid w:val="00D26977"/>
    <w:rsid w:val="00E06D91"/>
    <w:rsid w:val="00E16ED7"/>
    <w:rsid w:val="00EB1095"/>
    <w:rsid w:val="00F06F19"/>
    <w:rsid w:val="00F25253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2019-05-29T07:09:00Z</dcterms:created>
  <dcterms:modified xsi:type="dcterms:W3CDTF">2019-05-29T07:09:00Z</dcterms:modified>
</cp:coreProperties>
</file>