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B341EF" w:rsidRPr="00B341EF" w:rsidRDefault="005B3FCF" w:rsidP="00B341EF">
      <w:pPr>
        <w:pStyle w:val="2"/>
        <w:widowControl w:val="0"/>
        <w:spacing w:after="0" w:line="240" w:lineRule="auto"/>
        <w:ind w:firstLine="720"/>
        <w:jc w:val="both"/>
        <w:rPr>
          <w:b/>
          <w:i/>
          <w:color w:val="000000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B341EF">
        <w:rPr>
          <w:i/>
          <w:sz w:val="23"/>
          <w:szCs w:val="23"/>
          <w:lang w:val="ru-RU"/>
        </w:rPr>
        <w:t>н</w:t>
      </w:r>
      <w:bookmarkStart w:id="0" w:name="_GoBack"/>
      <w:bookmarkEnd w:id="0"/>
      <w:r w:rsidR="00B341EF" w:rsidRPr="00B341EF">
        <w:rPr>
          <w:i/>
          <w:sz w:val="23"/>
          <w:szCs w:val="23"/>
        </w:rPr>
        <w:t xml:space="preserve">аличие у санаторно-курортной организации лицензии на осуществление медицинской деятельности по оказанию </w:t>
      </w:r>
      <w:r w:rsidR="00B341EF" w:rsidRPr="00B341EF">
        <w:rPr>
          <w:b/>
          <w:i/>
          <w:sz w:val="23"/>
          <w:szCs w:val="23"/>
        </w:rPr>
        <w:t>санаторно-курортной помощи</w:t>
      </w:r>
      <w:r w:rsidR="00B341EF" w:rsidRPr="00B341EF">
        <w:rPr>
          <w:i/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="00B341EF" w:rsidRPr="00B341EF">
        <w:rPr>
          <w:i/>
          <w:color w:val="0000FF"/>
          <w:sz w:val="23"/>
          <w:szCs w:val="23"/>
        </w:rPr>
        <w:t xml:space="preserve"> </w:t>
      </w:r>
      <w:r w:rsidR="00B341EF" w:rsidRPr="00B341EF">
        <w:rPr>
          <w:b/>
          <w:i/>
          <w:color w:val="000000"/>
          <w:sz w:val="23"/>
          <w:szCs w:val="23"/>
        </w:rPr>
        <w:t xml:space="preserve">гинекология, дерматовенерология, </w:t>
      </w:r>
      <w:r w:rsidR="00B341EF" w:rsidRPr="00B341EF">
        <w:rPr>
          <w:b/>
          <w:i/>
          <w:color w:val="000000"/>
        </w:rPr>
        <w:t xml:space="preserve">диетология, кардиология, </w:t>
      </w:r>
      <w:r w:rsidR="00B341EF" w:rsidRPr="00B341EF">
        <w:rPr>
          <w:b/>
          <w:i/>
          <w:color w:val="000000"/>
          <w:sz w:val="23"/>
          <w:szCs w:val="23"/>
        </w:rPr>
        <w:t xml:space="preserve">клиническая лабораторная диагностика, </w:t>
      </w:r>
      <w:r w:rsidR="00B341EF" w:rsidRPr="00B341EF">
        <w:rPr>
          <w:b/>
          <w:i/>
          <w:color w:val="000000"/>
        </w:rPr>
        <w:t>лечебная физкультура, неврология, психотерапия, пульмонология, терапия, эндокринология, травматология и ортопедия, физиотерапия, функциональная диагностика.</w:t>
      </w:r>
    </w:p>
    <w:p w:rsidR="005B3FCF" w:rsidRPr="002D571C" w:rsidRDefault="005B3FCF" w:rsidP="005B3FCF">
      <w:pPr>
        <w:jc w:val="both"/>
      </w:pPr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 xml:space="preserve">, под которым понимаются случаи, при которых руководитель Заказчика, член комиссии по осуществлению </w:t>
      </w:r>
      <w:r w:rsidRPr="002D571C">
        <w:lastRenderedPageBreak/>
        <w:t>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5B3FCF" w:rsidP="005B3FCF">
      <w:pPr>
        <w:jc w:val="both"/>
      </w:pPr>
      <w:r w:rsidRPr="002D571C">
        <w:t xml:space="preserve">Заказчиком установлено </w:t>
      </w:r>
      <w:r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120BC2"/>
    <w:rsid w:val="005B3FCF"/>
    <w:rsid w:val="006748CE"/>
    <w:rsid w:val="00800169"/>
    <w:rsid w:val="00856029"/>
    <w:rsid w:val="00B266D4"/>
    <w:rsid w:val="00B341EF"/>
    <w:rsid w:val="00C5632D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</cp:lastModifiedBy>
  <cp:revision>7</cp:revision>
  <dcterms:created xsi:type="dcterms:W3CDTF">2019-06-03T05:23:00Z</dcterms:created>
  <dcterms:modified xsi:type="dcterms:W3CDTF">2019-06-07T09:07:00Z</dcterms:modified>
</cp:coreProperties>
</file>