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r w:rsidR="003A0426">
        <w:rPr>
          <w:rFonts w:ascii="Times New Roman" w:hAnsi="Times New Roman"/>
          <w:b/>
          <w:sz w:val="24"/>
        </w:rPr>
        <w:t xml:space="preserve"> </w:t>
      </w:r>
      <w:r w:rsidR="003A0426" w:rsidRPr="003A0426">
        <w:rPr>
          <w:rFonts w:ascii="Times New Roman" w:hAnsi="Times New Roman"/>
          <w:b/>
          <w:sz w:val="24"/>
        </w:rPr>
        <w:t xml:space="preserve">по аукциону на поставку </w:t>
      </w:r>
      <w:proofErr w:type="spellStart"/>
      <w:r w:rsidR="003A0426" w:rsidRPr="003A0426">
        <w:rPr>
          <w:rFonts w:ascii="Times New Roman" w:hAnsi="Times New Roman"/>
          <w:b/>
          <w:sz w:val="24"/>
        </w:rPr>
        <w:t>противопролежневых</w:t>
      </w:r>
      <w:proofErr w:type="spellEnd"/>
      <w:r w:rsidR="003A0426" w:rsidRPr="003A0426">
        <w:rPr>
          <w:rFonts w:ascii="Times New Roman" w:hAnsi="Times New Roman"/>
          <w:b/>
          <w:sz w:val="24"/>
        </w:rPr>
        <w:t xml:space="preserve"> матрацев и подушек для обеспечения инвалидов в 2020 году</w:t>
      </w:r>
      <w:r w:rsidRPr="008F521C">
        <w:rPr>
          <w:rFonts w:ascii="Times New Roman" w:hAnsi="Times New Roman"/>
          <w:b/>
          <w:sz w:val="24"/>
        </w:rPr>
        <w:t>:</w:t>
      </w:r>
    </w:p>
    <w:p w:rsidR="003A0426" w:rsidRPr="003A0426" w:rsidRDefault="008F521C" w:rsidP="003A0426">
      <w:pPr>
        <w:pStyle w:val="a9"/>
        <w:numPr>
          <w:ilvl w:val="0"/>
          <w:numId w:val="2"/>
        </w:numPr>
        <w:rPr>
          <w:rFonts w:ascii="Times New Roman" w:hAnsi="Times New Roman"/>
          <w:bCs/>
          <w:sz w:val="24"/>
        </w:rPr>
      </w:pPr>
      <w:r w:rsidRPr="003A0426">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3A0426" w:rsidRPr="003A0426">
        <w:rPr>
          <w:rFonts w:ascii="Times New Roman" w:hAnsi="Times New Roman"/>
          <w:bCs/>
          <w:sz w:val="24"/>
        </w:rPr>
        <w:t xml:space="preserve"> – не установлено.</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w:t>
      </w:r>
      <w:bookmarkStart w:id="0" w:name="_GoBack"/>
      <w:bookmarkEnd w:id="0"/>
      <w:r w:rsidRPr="008F521C">
        <w:rPr>
          <w:rFonts w:ascii="Times New Roman" w:hAnsi="Times New Roman"/>
          <w:sz w:val="24"/>
        </w:rPr>
        <w:t>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4F7F" w:rsidRDefault="008F521C" w:rsidP="004E670E">
      <w:pPr>
        <w:pStyle w:val="a9"/>
        <w:numPr>
          <w:ilvl w:val="0"/>
          <w:numId w:val="2"/>
        </w:numPr>
        <w:spacing w:before="120" w:after="120"/>
        <w:jc w:val="both"/>
        <w:rPr>
          <w:rFonts w:ascii="Times New Roman" w:hAnsi="Times New Roman"/>
          <w:sz w:val="24"/>
        </w:rPr>
      </w:pPr>
      <w:proofErr w:type="gramStart"/>
      <w:r w:rsidRPr="00774F7F">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774F7F">
        <w:rPr>
          <w:rFonts w:ascii="Times New Roman" w:hAnsi="Times New Roman"/>
          <w:sz w:val="24"/>
        </w:rPr>
        <w:lastRenderedPageBreak/>
        <w:t>руководителем (директором, генеральным директором) учреждения или унитарного</w:t>
      </w:r>
      <w:proofErr w:type="gramEnd"/>
      <w:r w:rsidRPr="00774F7F">
        <w:rPr>
          <w:rFonts w:ascii="Times New Roman" w:hAnsi="Times New Roman"/>
          <w:sz w:val="24"/>
        </w:rPr>
        <w:t xml:space="preserve"> </w:t>
      </w:r>
      <w:proofErr w:type="gramStart"/>
      <w:r w:rsidRPr="00774F7F">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4F7F">
        <w:rPr>
          <w:rFonts w:ascii="Times New Roman" w:hAnsi="Times New Roman"/>
          <w:sz w:val="24"/>
        </w:rPr>
        <w:t>неполнородными</w:t>
      </w:r>
      <w:proofErr w:type="spellEnd"/>
      <w:r w:rsidRPr="00774F7F">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774F7F">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774F7F" w:rsidRDefault="008F521C" w:rsidP="004E670E">
      <w:pPr>
        <w:pStyle w:val="a9"/>
        <w:numPr>
          <w:ilvl w:val="0"/>
          <w:numId w:val="2"/>
        </w:numPr>
        <w:spacing w:before="120" w:after="120"/>
        <w:jc w:val="both"/>
        <w:rPr>
          <w:rFonts w:ascii="Times New Roman" w:hAnsi="Times New Roman"/>
          <w:sz w:val="24"/>
        </w:rPr>
      </w:pPr>
      <w:r w:rsidRPr="00774F7F">
        <w:rPr>
          <w:rFonts w:ascii="Times New Roman" w:hAnsi="Times New Roman"/>
          <w:color w:val="000000"/>
          <w:spacing w:val="-6"/>
          <w:sz w:val="24"/>
        </w:rPr>
        <w:t>Участник закупки не является офшорной компанией.</w:t>
      </w:r>
    </w:p>
    <w:p w:rsidR="00774F7F" w:rsidRDefault="00774F7F" w:rsidP="007639B4">
      <w:pPr>
        <w:pStyle w:val="a9"/>
        <w:numPr>
          <w:ilvl w:val="0"/>
          <w:numId w:val="2"/>
        </w:numPr>
        <w:spacing w:before="120" w:after="120"/>
        <w:ind w:left="709" w:hanging="425"/>
        <w:jc w:val="both"/>
        <w:rPr>
          <w:rFonts w:ascii="Times New Roman" w:hAnsi="Times New Roman"/>
          <w:sz w:val="24"/>
        </w:rPr>
      </w:pPr>
      <w:r>
        <w:rPr>
          <w:rFonts w:ascii="Times New Roman" w:hAnsi="Times New Roman"/>
          <w:sz w:val="24"/>
        </w:rPr>
        <w:t>О</w:t>
      </w:r>
      <w:r w:rsidR="005F292A" w:rsidRPr="00774F7F">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1E45CC" w:rsidRPr="00774F7F" w:rsidRDefault="00951CE0" w:rsidP="00774F7F">
      <w:pPr>
        <w:pStyle w:val="a9"/>
        <w:numPr>
          <w:ilvl w:val="0"/>
          <w:numId w:val="2"/>
        </w:numPr>
        <w:spacing w:before="120" w:after="120"/>
        <w:ind w:left="709"/>
        <w:jc w:val="both"/>
        <w:rPr>
          <w:rFonts w:ascii="Times New Roman" w:hAnsi="Times New Roman"/>
          <w:sz w:val="24"/>
        </w:rPr>
      </w:pPr>
      <w:r w:rsidRPr="00774F7F">
        <w:rPr>
          <w:rFonts w:ascii="Times New Roman" w:hAnsi="Times New Roman"/>
          <w:sz w:val="24"/>
        </w:rPr>
        <w:t xml:space="preserve"> </w:t>
      </w:r>
      <w:proofErr w:type="gramStart"/>
      <w:r w:rsidR="00774F7F">
        <w:rPr>
          <w:rFonts w:ascii="Times New Roman" w:hAnsi="Times New Roman"/>
          <w:sz w:val="24"/>
        </w:rPr>
        <w:t>У</w:t>
      </w:r>
      <w:r w:rsidRPr="00774F7F">
        <w:rPr>
          <w:rFonts w:ascii="Times New Roman" w:hAnsi="Times New Roman"/>
          <w:sz w:val="24"/>
        </w:rPr>
        <w:t>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roofErr w:type="gramEnd"/>
    </w:p>
    <w:sectPr w:rsidR="001E45CC" w:rsidRPr="00774F7F"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A0426"/>
    <w:rsid w:val="003C46CB"/>
    <w:rsid w:val="003D6CA1"/>
    <w:rsid w:val="00416AE3"/>
    <w:rsid w:val="00455F1B"/>
    <w:rsid w:val="004E670E"/>
    <w:rsid w:val="005168CF"/>
    <w:rsid w:val="005B3741"/>
    <w:rsid w:val="005C2482"/>
    <w:rsid w:val="005D520F"/>
    <w:rsid w:val="005F292A"/>
    <w:rsid w:val="00620876"/>
    <w:rsid w:val="006C0850"/>
    <w:rsid w:val="006D31ED"/>
    <w:rsid w:val="006F392C"/>
    <w:rsid w:val="007002E7"/>
    <w:rsid w:val="0071432A"/>
    <w:rsid w:val="007601AC"/>
    <w:rsid w:val="007639B4"/>
    <w:rsid w:val="00765E14"/>
    <w:rsid w:val="00774F7F"/>
    <w:rsid w:val="007864B9"/>
    <w:rsid w:val="007B0670"/>
    <w:rsid w:val="007F353A"/>
    <w:rsid w:val="00843520"/>
    <w:rsid w:val="008514CF"/>
    <w:rsid w:val="00871DA4"/>
    <w:rsid w:val="00892124"/>
    <w:rsid w:val="008C0C00"/>
    <w:rsid w:val="008F521C"/>
    <w:rsid w:val="00951CE0"/>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81B7-37F7-4A9C-B85A-B0E22723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9</cp:revision>
  <cp:lastPrinted>2018-01-19T05:52:00Z</cp:lastPrinted>
  <dcterms:created xsi:type="dcterms:W3CDTF">2018-08-31T08:07:00Z</dcterms:created>
  <dcterms:modified xsi:type="dcterms:W3CDTF">2019-12-20T08:45:00Z</dcterms:modified>
</cp:coreProperties>
</file>