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4" w:rsidRDefault="004C4474" w:rsidP="004C4474">
      <w:pPr>
        <w:spacing w:line="100" w:lineRule="atLeast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Требования к участникам и документы, которые должны представить участники электронного аукциона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4C4474">
        <w:rPr>
          <w:rFonts w:ascii="Times New Roman CYR" w:eastAsia="Times New Roman CYR" w:hAnsi="Times New Roman CYR" w:cs="Times New Roman CYR"/>
          <w:b/>
          <w:color w:val="000000"/>
          <w:spacing w:val="-6"/>
          <w:kern w:val="2"/>
          <w:sz w:val="28"/>
          <w:szCs w:val="28"/>
          <w:lang w:eastAsia="ar-SA"/>
        </w:rPr>
        <w:t>на поставку подгузников для взрослых для обеспечения инвалидов в 2020 году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являющихся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объектом закупки – не установлено;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непроведение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неприостановление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обязанности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заявителя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дисквалификации;</w:t>
      </w:r>
      <w:proofErr w:type="gramEnd"/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неполнородными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участник закупки не является офшорной компанией;</w:t>
      </w:r>
    </w:p>
    <w:p w:rsidR="004C4474" w:rsidRDefault="004C4474" w:rsidP="004C4474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отсутствие у участника закупки ограничений для участия в закупках, установленных законодательством Российской Федерации.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4474" w:rsidRDefault="004C4474" w:rsidP="004C44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9) 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4C4474" w:rsidRDefault="004C4474" w:rsidP="004C44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4C4474" w:rsidRDefault="004C4474" w:rsidP="004C4474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11)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документы, подтверждающие право участника на получение преимуществ в соответствии со ст.  29 Закона, в случае, если участник заявил о получении таких преимуществ, или копии таких документов.</w:t>
      </w:r>
    </w:p>
    <w:p w:rsidR="006B0861" w:rsidRDefault="006B0861"/>
    <w:sectPr w:rsidR="006B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74"/>
    <w:rsid w:val="004C4474"/>
    <w:rsid w:val="006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Лариса Витальевна</dc:creator>
  <cp:lastModifiedBy>Грибова Лариса Витальевна</cp:lastModifiedBy>
  <cp:revision>1</cp:revision>
  <dcterms:created xsi:type="dcterms:W3CDTF">2019-12-13T12:15:00Z</dcterms:created>
  <dcterms:modified xsi:type="dcterms:W3CDTF">2019-12-13T12:18:00Z</dcterms:modified>
</cp:coreProperties>
</file>