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3E" w:rsidRPr="008F233E" w:rsidRDefault="003626E5" w:rsidP="008F233E">
      <w:pPr>
        <w:pStyle w:val="22"/>
        <w:keepNext/>
        <w:keepLines/>
        <w:widowControl/>
        <w:suppressAutoHyphens w:val="0"/>
        <w:spacing w:after="0" w:line="200" w:lineRule="atLeast"/>
        <w:ind w:firstLine="750"/>
        <w:contextualSpacing/>
        <w:jc w:val="both"/>
        <w:rPr>
          <w:rStyle w:val="postbody"/>
          <w:rFonts w:eastAsia="Times New Roman CYR" w:cs="Times New Roman CYR"/>
          <w:bCs/>
          <w:i/>
        </w:rPr>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8F233E" w:rsidRPr="008F233E">
        <w:rPr>
          <w:i/>
        </w:rPr>
        <w:t>организация,оказывающаясанаторно-курортныеуслуги,должнаиметьдействующуюлицензиюнаправоосуществлениямедицинскойдеятельностиприоказаниисанаторно-курортнойпомощи по</w:t>
      </w:r>
      <w:r w:rsidR="008F233E" w:rsidRPr="008F233E">
        <w:rPr>
          <w:rFonts w:cs="Times New Roman"/>
          <w:i/>
        </w:rPr>
        <w:t xml:space="preserve"> кардиологии, травматологии и ортопедии, неврологии</w:t>
      </w:r>
      <w:r w:rsidR="008F233E" w:rsidRPr="008F233E">
        <w:rPr>
          <w:rStyle w:val="postbody"/>
          <w:rFonts w:eastAsia="Times New Roman CYR" w:cs="Times New Roman CYR"/>
          <w:bCs/>
          <w:i/>
        </w:rPr>
        <w:t>.</w:t>
      </w:r>
    </w:p>
    <w:p w:rsidR="0061576B" w:rsidRPr="0057503E" w:rsidRDefault="0061576B" w:rsidP="008F233E">
      <w:pPr>
        <w:pStyle w:val="22"/>
        <w:keepNext/>
        <w:keepLines/>
        <w:widowControl/>
        <w:suppressAutoHyphens w:val="0"/>
        <w:spacing w:after="0" w:line="200" w:lineRule="atLeast"/>
        <w:ind w:firstLine="750"/>
        <w:contextualSpacing/>
        <w:rPr>
          <w:rFonts w:eastAsiaTheme="minorHAnsi"/>
          <w:lang w:eastAsia="en-US"/>
        </w:rPr>
      </w:pPr>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w:t>
      </w:r>
      <w:bookmarkStart w:id="0" w:name="_GoBack"/>
      <w:bookmarkEnd w:id="0"/>
      <w:r w:rsidRPr="0057503E">
        <w:rPr>
          <w:rFonts w:eastAsiaTheme="minorHAnsi"/>
          <w:lang w:eastAsia="en-US"/>
        </w:rPr>
        <w:t>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участник закупки не является офшорной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26E5"/>
    <w:rsid w:val="001C2921"/>
    <w:rsid w:val="00321AD9"/>
    <w:rsid w:val="00327552"/>
    <w:rsid w:val="003626E5"/>
    <w:rsid w:val="004504CD"/>
    <w:rsid w:val="00473C7B"/>
    <w:rsid w:val="0057503E"/>
    <w:rsid w:val="0061576B"/>
    <w:rsid w:val="008F233E"/>
    <w:rsid w:val="009B6229"/>
    <w:rsid w:val="00A07D6A"/>
    <w:rsid w:val="00BD4DB2"/>
    <w:rsid w:val="00C341D8"/>
    <w:rsid w:val="00CB271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Храмайков Михаил</cp:lastModifiedBy>
  <cp:revision>3</cp:revision>
  <dcterms:created xsi:type="dcterms:W3CDTF">2020-02-11T15:14:00Z</dcterms:created>
  <dcterms:modified xsi:type="dcterms:W3CDTF">2020-02-11T15:14:00Z</dcterms:modified>
</cp:coreProperties>
</file>