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6A" w:rsidRDefault="00006F6A" w:rsidP="00006F6A">
      <w:pPr>
        <w:ind w:firstLine="508"/>
        <w:jc w:val="center"/>
        <w:rPr>
          <w:b/>
          <w:sz w:val="22"/>
          <w:szCs w:val="22"/>
        </w:rPr>
      </w:pPr>
      <w:r>
        <w:rPr>
          <w:b/>
          <w:sz w:val="22"/>
          <w:szCs w:val="22"/>
        </w:rPr>
        <w:t>Требования, предъявляемые к участникам электронного аукциона:</w:t>
      </w:r>
    </w:p>
    <w:p w:rsidR="00006F6A" w:rsidRDefault="00006F6A" w:rsidP="00006F6A">
      <w:pPr>
        <w:ind w:firstLine="564"/>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006F6A" w:rsidRDefault="00006F6A" w:rsidP="00006F6A">
      <w:pPr>
        <w:ind w:firstLine="564"/>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06F6A" w:rsidRPr="00160F23" w:rsidRDefault="00006F6A" w:rsidP="00006F6A">
      <w:pPr>
        <w:autoSpaceDE w:val="0"/>
        <w:ind w:firstLine="555"/>
        <w:jc w:val="both"/>
        <w:rPr>
          <w:sz w:val="22"/>
          <w:szCs w:val="22"/>
        </w:rPr>
      </w:pPr>
      <w:bookmarkStart w:id="0" w:name="sub_3114111"/>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w:t>
      </w:r>
      <w:r w:rsidRPr="00160F23">
        <w:rPr>
          <w:sz w:val="22"/>
          <w:szCs w:val="22"/>
        </w:rPr>
        <w:t xml:space="preserve">установленном </w:t>
      </w:r>
      <w:hyperlink r:id="rId4" w:history="1">
        <w:r w:rsidRPr="00160F23">
          <w:rPr>
            <w:rStyle w:val="a3"/>
            <w:sz w:val="22"/>
            <w:szCs w:val="22"/>
          </w:rPr>
          <w:t>Кодексом</w:t>
        </w:r>
      </w:hyperlink>
      <w:r w:rsidRPr="00160F23">
        <w:rPr>
          <w:sz w:val="22"/>
          <w:szCs w:val="22"/>
        </w:rPr>
        <w:t xml:space="preserve"> Российской Федерации об административных правонарушениях, на дату подачи заявки на участие в аукционе;</w:t>
      </w:r>
    </w:p>
    <w:p w:rsidR="00006F6A" w:rsidRPr="00160F23" w:rsidRDefault="00006F6A" w:rsidP="00006F6A">
      <w:pPr>
        <w:autoSpaceDE w:val="0"/>
        <w:ind w:firstLine="555"/>
        <w:jc w:val="both"/>
        <w:rPr>
          <w:sz w:val="22"/>
          <w:szCs w:val="22"/>
        </w:rPr>
      </w:pPr>
      <w:bookmarkStart w:id="1" w:name="sub_3115111"/>
      <w:bookmarkEnd w:id="0"/>
      <w:r w:rsidRPr="00160F23">
        <w:rPr>
          <w:sz w:val="22"/>
          <w:szCs w:val="22"/>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60F23">
          <w:rPr>
            <w:rStyle w:val="a3"/>
            <w:sz w:val="22"/>
            <w:szCs w:val="22"/>
          </w:rPr>
          <w:t>законодательством</w:t>
        </w:r>
      </w:hyperlink>
      <w:r w:rsidRPr="00160F23">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6F6A" w:rsidRPr="00160F23" w:rsidRDefault="00006F6A" w:rsidP="00006F6A">
      <w:pPr>
        <w:tabs>
          <w:tab w:val="left" w:pos="567"/>
        </w:tabs>
        <w:jc w:val="both"/>
        <w:rPr>
          <w:sz w:val="22"/>
          <w:szCs w:val="22"/>
        </w:rPr>
      </w:pPr>
      <w:bookmarkStart w:id="2" w:name="sub_3117111"/>
      <w:bookmarkEnd w:id="1"/>
      <w:r w:rsidRPr="00160F23">
        <w:rPr>
          <w:sz w:val="22"/>
          <w:szCs w:val="22"/>
        </w:rPr>
        <w:ta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160F23">
          <w:rPr>
            <w:rStyle w:val="a3"/>
            <w:sz w:val="22"/>
            <w:szCs w:val="22"/>
          </w:rPr>
          <w:t>статьями 289</w:t>
        </w:r>
      </w:hyperlink>
      <w:r w:rsidRPr="00160F23">
        <w:rPr>
          <w:sz w:val="22"/>
          <w:szCs w:val="22"/>
        </w:rPr>
        <w:t xml:space="preserve">, </w:t>
      </w:r>
      <w:hyperlink r:id="rId7" w:history="1">
        <w:r w:rsidRPr="00160F23">
          <w:rPr>
            <w:rStyle w:val="a3"/>
            <w:sz w:val="22"/>
            <w:szCs w:val="22"/>
          </w:rPr>
          <w:t>290</w:t>
        </w:r>
      </w:hyperlink>
      <w:r w:rsidRPr="00160F23">
        <w:rPr>
          <w:sz w:val="22"/>
          <w:szCs w:val="22"/>
        </w:rPr>
        <w:t xml:space="preserve">, </w:t>
      </w:r>
      <w:hyperlink r:id="rId8" w:history="1">
        <w:r w:rsidRPr="00160F23">
          <w:rPr>
            <w:rStyle w:val="a3"/>
            <w:sz w:val="22"/>
            <w:szCs w:val="22"/>
          </w:rPr>
          <w:t>291</w:t>
        </w:r>
      </w:hyperlink>
      <w:r w:rsidRPr="00160F23">
        <w:rPr>
          <w:sz w:val="22"/>
          <w:szCs w:val="22"/>
        </w:rPr>
        <w:t xml:space="preserve">, </w:t>
      </w:r>
      <w:hyperlink r:id="rId9" w:history="1">
        <w:r w:rsidRPr="00160F23">
          <w:rPr>
            <w:rStyle w:val="a3"/>
            <w:sz w:val="22"/>
            <w:szCs w:val="22"/>
          </w:rPr>
          <w:t>291.1</w:t>
        </w:r>
      </w:hyperlink>
      <w:r w:rsidRPr="00160F23">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6F6A" w:rsidRPr="00160F23" w:rsidRDefault="00006F6A" w:rsidP="00006F6A">
      <w:pPr>
        <w:jc w:val="both"/>
        <w:rPr>
          <w:sz w:val="22"/>
          <w:szCs w:val="22"/>
        </w:rPr>
      </w:pPr>
      <w:r w:rsidRPr="00160F23">
        <w:rPr>
          <w:sz w:val="22"/>
          <w:szCs w:val="22"/>
        </w:rPr>
        <w:ta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160F23">
          <w:rPr>
            <w:rStyle w:val="a3"/>
            <w:sz w:val="22"/>
            <w:szCs w:val="22"/>
          </w:rPr>
          <w:t>статьей 19.28</w:t>
        </w:r>
      </w:hyperlink>
      <w:r w:rsidRPr="00160F23">
        <w:rPr>
          <w:sz w:val="22"/>
          <w:szCs w:val="22"/>
        </w:rPr>
        <w:t xml:space="preserve"> Кодекса Российской Федерации об административных правонарушениях;</w:t>
      </w:r>
    </w:p>
    <w:bookmarkEnd w:id="2"/>
    <w:p w:rsidR="00006F6A" w:rsidRDefault="00006F6A" w:rsidP="00006F6A">
      <w:pPr>
        <w:autoSpaceDE w:val="0"/>
        <w:ind w:firstLine="555"/>
        <w:jc w:val="both"/>
        <w:rPr>
          <w:sz w:val="22"/>
          <w:szCs w:val="22"/>
        </w:rPr>
      </w:pPr>
      <w:r w:rsidRPr="00160F23">
        <w:rPr>
          <w:sz w:val="22"/>
          <w:szCs w:val="22"/>
        </w:rPr>
        <w:t>6)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w:t>
      </w:r>
      <w:r>
        <w:rPr>
          <w:sz w:val="22"/>
          <w:szCs w:val="22"/>
        </w:rPr>
        <w:t xml:space="preserve">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6F6A" w:rsidRDefault="00006F6A" w:rsidP="00006F6A">
      <w:pPr>
        <w:autoSpaceDE w:val="0"/>
        <w:ind w:firstLine="555"/>
        <w:jc w:val="both"/>
        <w:rPr>
          <w:sz w:val="22"/>
          <w:szCs w:val="22"/>
        </w:rPr>
      </w:pPr>
      <w:r>
        <w:rPr>
          <w:sz w:val="22"/>
          <w:szCs w:val="22"/>
        </w:rPr>
        <w:t>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06F6A" w:rsidRDefault="00006F6A" w:rsidP="00006F6A">
      <w:pPr>
        <w:ind w:firstLine="564"/>
        <w:jc w:val="both"/>
        <w:rPr>
          <w:sz w:val="22"/>
          <w:szCs w:val="22"/>
        </w:rPr>
      </w:pPr>
      <w:r>
        <w:rPr>
          <w:sz w:val="22"/>
          <w:szCs w:val="22"/>
        </w:rPr>
        <w:lastRenderedPageBreak/>
        <w:t>8) участник закупки не является офшорной компанией;</w:t>
      </w:r>
    </w:p>
    <w:p w:rsidR="00006F6A" w:rsidRDefault="00006F6A" w:rsidP="00006F6A">
      <w:pPr>
        <w:suppressLineNumbers/>
        <w:ind w:firstLine="540"/>
        <w:jc w:val="both"/>
        <w:rPr>
          <w:sz w:val="22"/>
          <w:szCs w:val="22"/>
        </w:rPr>
      </w:pPr>
      <w:r>
        <w:rPr>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bookmarkEnd w:id="3"/>
    <w:p w:rsidR="00006F6A" w:rsidRDefault="00006F6A" w:rsidP="00006F6A">
      <w:pPr>
        <w:autoSpaceDE w:val="0"/>
        <w:ind w:firstLine="720"/>
        <w:jc w:val="both"/>
        <w:rPr>
          <w:sz w:val="22"/>
          <w:szCs w:val="22"/>
        </w:rPr>
      </w:pPr>
    </w:p>
    <w:p w:rsidR="00006F6A" w:rsidRDefault="00006F6A" w:rsidP="00006F6A">
      <w:pPr>
        <w:ind w:firstLine="540"/>
        <w:jc w:val="both"/>
        <w:rPr>
          <w:b/>
          <w:sz w:val="22"/>
          <w:szCs w:val="22"/>
        </w:rPr>
      </w:pPr>
      <w:r>
        <w:rPr>
          <w:rStyle w:val="a4"/>
          <w:b/>
          <w:bCs/>
          <w:sz w:val="22"/>
          <w:szCs w:val="22"/>
          <w:shd w:val="clear" w:color="auto" w:fill="FFFFFF"/>
        </w:rPr>
        <w:t>1</w:t>
      </w:r>
      <w:r>
        <w:rPr>
          <w:rStyle w:val="a4"/>
          <w:b/>
          <w:bCs/>
          <w:sz w:val="22"/>
          <w:szCs w:val="22"/>
          <w:shd w:val="clear" w:color="auto" w:fill="FFFFFF"/>
        </w:rPr>
        <w:t>0</w:t>
      </w:r>
      <w:bookmarkStart w:id="4" w:name="_GoBack"/>
      <w:bookmarkEnd w:id="4"/>
      <w:r>
        <w:rPr>
          <w:rStyle w:val="a4"/>
          <w:b/>
          <w:bCs/>
          <w:sz w:val="22"/>
          <w:szCs w:val="22"/>
          <w:shd w:val="clear" w:color="auto" w:fill="FFFFFF"/>
        </w:rPr>
        <w:t xml:space="preserve">. </w:t>
      </w:r>
      <w:r>
        <w:rPr>
          <w:b/>
          <w:sz w:val="22"/>
          <w:szCs w:val="22"/>
        </w:rPr>
        <w:t>Исчерпывающий перечень документов, которые должны быть представлены участниками электронного аукциона в соответствии</w:t>
      </w:r>
      <w:r>
        <w:rPr>
          <w:b/>
          <w:bCs/>
          <w:sz w:val="22"/>
          <w:szCs w:val="22"/>
        </w:rPr>
        <w:t xml:space="preserve"> с пунктом 1 части 1 статьи 31 </w:t>
      </w:r>
      <w:r>
        <w:rPr>
          <w:rStyle w:val="a4"/>
          <w:b/>
          <w:bCs/>
          <w:sz w:val="22"/>
          <w:szCs w:val="22"/>
          <w:shd w:val="clear" w:color="auto" w:fill="FFFFFF"/>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Pr>
          <w:b/>
          <w:sz w:val="22"/>
          <w:szCs w:val="22"/>
        </w:rPr>
        <w:t xml:space="preserve">: </w:t>
      </w:r>
    </w:p>
    <w:p w:rsidR="00006F6A" w:rsidRDefault="00006F6A" w:rsidP="00006F6A">
      <w:pPr>
        <w:autoSpaceDE w:val="0"/>
        <w:spacing w:line="100" w:lineRule="atLeast"/>
        <w:ind w:firstLine="553"/>
        <w:jc w:val="both"/>
        <w:rPr>
          <w:b/>
          <w:bCs/>
          <w:i/>
          <w:iCs/>
          <w:color w:val="000000"/>
          <w:sz w:val="22"/>
          <w:szCs w:val="22"/>
        </w:rPr>
      </w:pPr>
      <w:r w:rsidRPr="00B12634">
        <w:rPr>
          <w:iCs/>
          <w:color w:val="000000"/>
          <w:sz w:val="22"/>
          <w:szCs w:val="22"/>
        </w:rPr>
        <w:t>1) 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Pr="00B12634">
        <w:rPr>
          <w:i/>
          <w:iCs/>
          <w:color w:val="000000"/>
          <w:sz w:val="22"/>
          <w:szCs w:val="22"/>
        </w:rPr>
        <w:t xml:space="preserve"> -</w:t>
      </w:r>
      <w:r w:rsidRPr="00B12634">
        <w:rPr>
          <w:b/>
          <w:bCs/>
          <w:i/>
          <w:iCs/>
          <w:color w:val="000000"/>
          <w:sz w:val="22"/>
          <w:szCs w:val="22"/>
        </w:rPr>
        <w:t xml:space="preserve"> Лицензия на  осуществление медицинской деятельности (на основании Федерального закона от 04.05.2011 №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12634">
        <w:rPr>
          <w:b/>
          <w:bCs/>
          <w:i/>
          <w:iCs/>
          <w:color w:val="000000"/>
          <w:sz w:val="22"/>
          <w:szCs w:val="22"/>
        </w:rPr>
        <w:t>Сколково</w:t>
      </w:r>
      <w:proofErr w:type="spellEnd"/>
      <w:r w:rsidRPr="00B12634">
        <w:rPr>
          <w:b/>
          <w:bCs/>
          <w:i/>
          <w:iCs/>
          <w:color w:val="000000"/>
          <w:sz w:val="22"/>
          <w:szCs w:val="22"/>
        </w:rPr>
        <w:t>», утвержденного Постановлением Правит</w:t>
      </w:r>
      <w:r>
        <w:rPr>
          <w:b/>
          <w:bCs/>
          <w:i/>
          <w:iCs/>
          <w:color w:val="000000"/>
          <w:sz w:val="22"/>
          <w:szCs w:val="22"/>
        </w:rPr>
        <w:t>ельства РФ от 16.04.2012 №291)) п</w:t>
      </w:r>
      <w:r w:rsidRPr="00B12634">
        <w:rPr>
          <w:b/>
          <w:bCs/>
          <w:i/>
          <w:iCs/>
          <w:color w:val="000000"/>
          <w:sz w:val="22"/>
          <w:szCs w:val="22"/>
        </w:rPr>
        <w:t xml:space="preserve">ри оказании медицинской помощи </w:t>
      </w:r>
      <w:r>
        <w:rPr>
          <w:b/>
          <w:bCs/>
          <w:i/>
          <w:iCs/>
          <w:color w:val="000000"/>
          <w:sz w:val="22"/>
          <w:szCs w:val="22"/>
        </w:rPr>
        <w:t xml:space="preserve">при санаторно-курортном лечении по </w:t>
      </w:r>
      <w:r w:rsidRPr="00B12634">
        <w:rPr>
          <w:b/>
          <w:bCs/>
          <w:i/>
          <w:iCs/>
          <w:color w:val="000000"/>
          <w:sz w:val="22"/>
          <w:szCs w:val="22"/>
        </w:rPr>
        <w:t>неврологии</w:t>
      </w:r>
      <w:r>
        <w:rPr>
          <w:b/>
          <w:bCs/>
          <w:i/>
          <w:iCs/>
          <w:color w:val="000000"/>
          <w:sz w:val="22"/>
          <w:szCs w:val="22"/>
        </w:rPr>
        <w:t>,</w:t>
      </w:r>
      <w:r w:rsidRPr="00B12634">
        <w:t xml:space="preserve"> </w:t>
      </w:r>
      <w:proofErr w:type="spellStart"/>
      <w:r w:rsidRPr="00B12634">
        <w:rPr>
          <w:b/>
          <w:bCs/>
          <w:i/>
          <w:iCs/>
          <w:color w:val="000000"/>
          <w:sz w:val="22"/>
          <w:szCs w:val="22"/>
        </w:rPr>
        <w:t>профпатологии</w:t>
      </w:r>
      <w:proofErr w:type="spellEnd"/>
      <w:r>
        <w:rPr>
          <w:b/>
          <w:bCs/>
          <w:i/>
          <w:iCs/>
          <w:color w:val="000000"/>
          <w:sz w:val="22"/>
          <w:szCs w:val="22"/>
        </w:rPr>
        <w:t xml:space="preserve">,  </w:t>
      </w:r>
      <w:r w:rsidRPr="00B12634">
        <w:rPr>
          <w:b/>
          <w:bCs/>
          <w:i/>
          <w:iCs/>
          <w:color w:val="000000"/>
          <w:sz w:val="22"/>
          <w:szCs w:val="22"/>
        </w:rPr>
        <w:t>терапии</w:t>
      </w:r>
      <w:r>
        <w:rPr>
          <w:b/>
          <w:bCs/>
          <w:i/>
          <w:iCs/>
          <w:color w:val="000000"/>
          <w:sz w:val="22"/>
          <w:szCs w:val="22"/>
        </w:rPr>
        <w:t xml:space="preserve">, </w:t>
      </w:r>
      <w:r w:rsidRPr="00B12634">
        <w:rPr>
          <w:b/>
          <w:bCs/>
          <w:i/>
          <w:iCs/>
          <w:color w:val="000000"/>
          <w:sz w:val="22"/>
          <w:szCs w:val="22"/>
        </w:rPr>
        <w:t>травматологии и ортопедии</w:t>
      </w:r>
      <w:r>
        <w:rPr>
          <w:b/>
          <w:bCs/>
          <w:i/>
          <w:iCs/>
          <w:color w:val="000000"/>
          <w:sz w:val="22"/>
          <w:szCs w:val="22"/>
        </w:rPr>
        <w:t>.</w:t>
      </w:r>
    </w:p>
    <w:p w:rsidR="00453D06" w:rsidRDefault="00453D06"/>
    <w:sectPr w:rsidR="00453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6A"/>
    <w:rsid w:val="00006F6A"/>
    <w:rsid w:val="0045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FD93-9C84-42D0-B663-64C67C9B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6A"/>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6F6A"/>
    <w:rPr>
      <w:color w:val="0000FF"/>
      <w:u w:val="single"/>
    </w:rPr>
  </w:style>
  <w:style w:type="character" w:customStyle="1" w:styleId="a4">
    <w:name w:val="Сравнение редакций. Добавленный фрагмент"/>
    <w:rsid w:val="00006F6A"/>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2020-02-20T09:17:00Z</dcterms:created>
  <dcterms:modified xsi:type="dcterms:W3CDTF">2020-02-20T09:18:00Z</dcterms:modified>
</cp:coreProperties>
</file>