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832B83">
              <w:rPr>
                <w:rFonts w:ascii="Times New Roman" w:eastAsia="Times New Roman" w:hAnsi="Times New Roman" w:cs="Times New Roman"/>
                <w:sz w:val="24"/>
                <w:szCs w:val="24"/>
                <w:lang w:eastAsia="ru-RU"/>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127597" w:rsidRPr="00914339" w:rsidRDefault="007366F9" w:rsidP="007366F9">
            <w:pPr>
              <w:jc w:val="center"/>
            </w:pPr>
            <w:r>
              <w:rPr>
                <w:rFonts w:ascii="Times New Roman" w:hAnsi="Times New Roman" w:cs="Times New Roman"/>
                <w:b/>
                <w:sz w:val="24"/>
                <w:szCs w:val="24"/>
              </w:rPr>
              <w:t xml:space="preserve">Не </w:t>
            </w:r>
            <w:r w:rsidR="007E75C5">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w:t>
            </w:r>
            <w:bookmarkStart w:id="0" w:name="_GoBack"/>
            <w:bookmarkEnd w:id="0"/>
            <w:r w:rsidRPr="00F868F5">
              <w:rPr>
                <w:rFonts w:ascii="Times New Roman" w:eastAsia="Times New Roman" w:hAnsi="Times New Roman" w:cs="Times New Roman"/>
                <w:sz w:val="24"/>
                <w:szCs w:val="24"/>
                <w:lang w:eastAsia="ru-RU"/>
              </w:rPr>
              <w:t xml:space="preserve">со Статьей 29 Федерального закона № 44-ФЗ) </w:t>
            </w:r>
          </w:p>
        </w:tc>
        <w:tc>
          <w:tcPr>
            <w:tcW w:w="5244" w:type="dxa"/>
          </w:tcPr>
          <w:p w:rsidR="00F868F5" w:rsidRPr="008C3AB4" w:rsidRDefault="00C71CC9" w:rsidP="00DA29D7">
            <w:pPr>
              <w:jc w:val="center"/>
              <w:rPr>
                <w:highlight w:val="yellow"/>
              </w:rPr>
            </w:pPr>
            <w:r>
              <w:rPr>
                <w:rFonts w:ascii="Times New Roman" w:hAnsi="Times New Roman" w:cs="Times New Roman"/>
                <w:b/>
                <w:sz w:val="24"/>
                <w:szCs w:val="24"/>
              </w:rPr>
              <w:t xml:space="preserve"> </w:t>
            </w:r>
            <w:r w:rsidR="00DA29D7">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2020-03-11T12:50:00Z</dcterms:created>
  <dcterms:modified xsi:type="dcterms:W3CDTF">2020-03-11T12:50:00Z</dcterms:modified>
</cp:coreProperties>
</file>