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6E657A" w:rsidRDefault="003626E5" w:rsidP="006E657A">
      <w:pPr>
        <w:keepNext/>
        <w:keepLines/>
        <w:spacing w:line="200" w:lineRule="atLeast"/>
        <w:ind w:firstLine="750"/>
        <w:contextualSpacing/>
        <w:jc w:val="both"/>
        <w:rPr>
          <w:rFonts w:eastAsia="SimSun" w:cs="Mangal"/>
          <w:kern w:val="1"/>
          <w:lang w:eastAsia="zh-CN" w:bidi="hi-IN"/>
        </w:rPr>
      </w:pPr>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57503E">
        <w:t xml:space="preserve">организация, оказывающая медицинские услуги, должна иметь действующую </w:t>
      </w:r>
      <w:r w:rsidR="0057503E" w:rsidRPr="0057503E">
        <w:t xml:space="preserve">лицензию на право осуществления медицинской деятельности при оказании санаторно-курортной </w:t>
      </w:r>
      <w:proofErr w:type="gramStart"/>
      <w:r w:rsidR="0057503E" w:rsidRPr="0057503E">
        <w:t>помощи</w:t>
      </w:r>
      <w:r w:rsidRPr="0057503E">
        <w:t xml:space="preserve">; </w:t>
      </w:r>
      <w:r w:rsidR="0053243A" w:rsidRPr="00E242DF">
        <w:rPr>
          <w:rFonts w:eastAsia="SimSun" w:cs="Mangal"/>
          <w:i/>
          <w:kern w:val="1"/>
          <w:sz w:val="22"/>
          <w:szCs w:val="22"/>
          <w:lang w:eastAsia="zh-CN" w:bidi="hi-IN"/>
        </w:rPr>
        <w:t xml:space="preserve"> </w:t>
      </w:r>
      <w:r w:rsidR="00CF1ED7" w:rsidRPr="00CF1ED7">
        <w:rPr>
          <w:rFonts w:eastAsia="SimSun" w:cs="Mangal"/>
          <w:i/>
          <w:kern w:val="1"/>
          <w:lang w:eastAsia="zh-CN" w:bidi="hi-IN"/>
        </w:rPr>
        <w:t>по</w:t>
      </w:r>
      <w:proofErr w:type="gramEnd"/>
      <w:r w:rsidR="00CF1ED7" w:rsidRPr="00CF1ED7">
        <w:rPr>
          <w:rFonts w:eastAsia="SimSun" w:cs="Mangal"/>
          <w:bCs/>
          <w:i/>
          <w:kern w:val="1"/>
          <w:lang w:eastAsia="zh-CN" w:bidi="hi-IN"/>
        </w:rPr>
        <w:t xml:space="preserve"> кардиологии, </w:t>
      </w:r>
      <w:r w:rsidR="00CF1ED7" w:rsidRPr="00CF1ED7">
        <w:rPr>
          <w:rFonts w:eastAsia="Times New Roman CYR" w:cs="Times New Roman CYR"/>
          <w:bCs/>
          <w:i/>
          <w:kern w:val="1"/>
          <w:lang w:eastAsia="zh-CN" w:bidi="hi-IN"/>
        </w:rPr>
        <w:t>травматологии и ортопедии, эндокринологии, урологии, неврологии, пульмонологии</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E657A">
      <w:pPr>
        <w:autoSpaceDE w:val="0"/>
        <w:autoSpaceDN w:val="0"/>
        <w:adjustRightInd w:val="0"/>
        <w:ind w:firstLine="709"/>
        <w:jc w:val="both"/>
        <w:rPr>
          <w:rFonts w:eastAsiaTheme="minorHAnsi"/>
          <w:lang w:eastAsia="en-US"/>
        </w:rPr>
      </w:pPr>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E657A">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участник закупки не является офшорной компанией;</w:t>
      </w:r>
    </w:p>
    <w:p w:rsidR="0061576B" w:rsidRPr="0061576B" w:rsidRDefault="00BD4DB2" w:rsidP="006E657A">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E657A">
      <w:pPr>
        <w:keepNext/>
        <w:ind w:firstLine="709"/>
        <w:jc w:val="both"/>
      </w:pPr>
      <w:r>
        <w:t>9</w:t>
      </w:r>
      <w:r w:rsidR="0061576B" w:rsidRPr="0061576B">
        <w:t>) отсутствие в реестре недобросовестных поставщиков (подрядчиков, исполнителей) информации об участни</w:t>
      </w:r>
      <w:bookmarkStart w:id="0" w:name="_GoBack"/>
      <w:bookmarkEnd w:id="0"/>
      <w:r w:rsidR="0061576B" w:rsidRPr="0061576B">
        <w:t>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E657A">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3626E5"/>
    <w:rsid w:val="001C2921"/>
    <w:rsid w:val="00321AD9"/>
    <w:rsid w:val="003626E5"/>
    <w:rsid w:val="004504CD"/>
    <w:rsid w:val="00473C7B"/>
    <w:rsid w:val="0053243A"/>
    <w:rsid w:val="0057503E"/>
    <w:rsid w:val="0061576B"/>
    <w:rsid w:val="006E657A"/>
    <w:rsid w:val="00BD4DB2"/>
    <w:rsid w:val="00CF1ED7"/>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8C456-DE99-4DBE-B9A5-644E54CB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53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Дороничева Ирина Михайловна</cp:lastModifiedBy>
  <cp:revision>3</cp:revision>
  <dcterms:created xsi:type="dcterms:W3CDTF">2020-06-26T09:56:00Z</dcterms:created>
  <dcterms:modified xsi:type="dcterms:W3CDTF">2020-06-26T09:57:00Z</dcterms:modified>
</cp:coreProperties>
</file>