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A6" w:rsidRPr="00A65BF5" w:rsidRDefault="001E78A6" w:rsidP="001E78A6">
      <w:pPr>
        <w:framePr w:hSpace="180" w:wrap="around" w:vAnchor="text" w:hAnchor="text" w:x="-147" w:y="1"/>
        <w:widowControl w:val="0"/>
        <w:autoSpaceDE w:val="0"/>
        <w:autoSpaceDN w:val="0"/>
        <w:adjustRightInd w:val="0"/>
        <w:ind w:firstLine="318"/>
        <w:suppressOverlap/>
        <w:outlineLvl w:val="1"/>
        <w:rPr>
          <w:sz w:val="20"/>
          <w:szCs w:val="20"/>
        </w:rPr>
      </w:pPr>
      <w:r w:rsidRPr="00A65BF5">
        <w:rPr>
          <w:sz w:val="20"/>
          <w:szCs w:val="20"/>
        </w:rPr>
        <w:t>К участникам закупки устанавливаются следующие единые требования:</w:t>
      </w:r>
    </w:p>
    <w:p w:rsidR="001E78A6" w:rsidRPr="00A65BF5" w:rsidRDefault="001E78A6" w:rsidP="001E78A6">
      <w:pPr>
        <w:framePr w:hSpace="180" w:wrap="around" w:vAnchor="text" w:hAnchor="text" w:x="-147" w:y="1"/>
        <w:widowControl w:val="0"/>
        <w:autoSpaceDE w:val="0"/>
        <w:autoSpaceDN w:val="0"/>
        <w:adjustRightInd w:val="0"/>
        <w:ind w:firstLine="176"/>
        <w:suppressOverlap/>
        <w:rPr>
          <w:sz w:val="20"/>
          <w:szCs w:val="20"/>
        </w:rPr>
      </w:pPr>
      <w:r w:rsidRPr="00A65BF5">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CC600E" w:rsidRPr="00A65BF5">
        <w:rPr>
          <w:color w:val="0070C0"/>
          <w:sz w:val="20"/>
          <w:szCs w:val="20"/>
        </w:rPr>
        <w:t>Наличие у медицинской организации (учреждения) лицензии на медицинскую деятельность при осуществлении санаторно-курортной помощи по профилю лечения: кардиология, невролог</w:t>
      </w:r>
      <w:bookmarkStart w:id="0" w:name="_GoBack"/>
      <w:bookmarkEnd w:id="0"/>
      <w:r w:rsidR="00CC600E" w:rsidRPr="00A65BF5">
        <w:rPr>
          <w:color w:val="0070C0"/>
          <w:sz w:val="20"/>
          <w:szCs w:val="20"/>
        </w:rPr>
        <w:t>ия, пульмонология, ортопедия и травматология, гастроэнтерология, эндокринология, педиатрия предоставленная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A65BF5">
        <w:rPr>
          <w:color w:val="0070C0"/>
          <w:sz w:val="20"/>
          <w:szCs w:val="20"/>
        </w:rPr>
        <w:t>;</w:t>
      </w:r>
    </w:p>
    <w:p w:rsidR="001E78A6" w:rsidRPr="00A65BF5" w:rsidRDefault="001E78A6" w:rsidP="001E78A6">
      <w:pPr>
        <w:framePr w:hSpace="180" w:wrap="around" w:vAnchor="text" w:hAnchor="text" w:x="-147" w:y="1"/>
        <w:autoSpaceDE w:val="0"/>
        <w:autoSpaceDN w:val="0"/>
        <w:adjustRightInd w:val="0"/>
        <w:ind w:firstLine="176"/>
        <w:suppressOverlap/>
        <w:rPr>
          <w:sz w:val="20"/>
          <w:szCs w:val="20"/>
        </w:rPr>
      </w:pPr>
      <w:r w:rsidRPr="00A65BF5">
        <w:rPr>
          <w:sz w:val="20"/>
          <w:szCs w:val="20"/>
        </w:rPr>
        <w:t xml:space="preserve">2) </w:t>
      </w:r>
      <w:proofErr w:type="spellStart"/>
      <w:r w:rsidRPr="00A65BF5">
        <w:rPr>
          <w:sz w:val="20"/>
          <w:szCs w:val="20"/>
        </w:rPr>
        <w:t>непроведение</w:t>
      </w:r>
      <w:proofErr w:type="spellEnd"/>
      <w:r w:rsidRPr="00A65BF5">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78A6" w:rsidRPr="00A65BF5" w:rsidRDefault="001E78A6" w:rsidP="001E78A6">
      <w:pPr>
        <w:framePr w:hSpace="180" w:wrap="around" w:vAnchor="text" w:hAnchor="text" w:x="-147" w:y="1"/>
        <w:autoSpaceDE w:val="0"/>
        <w:autoSpaceDN w:val="0"/>
        <w:adjustRightInd w:val="0"/>
        <w:ind w:firstLine="176"/>
        <w:suppressOverlap/>
        <w:rPr>
          <w:sz w:val="20"/>
          <w:szCs w:val="20"/>
        </w:rPr>
      </w:pPr>
      <w:r w:rsidRPr="00A65BF5">
        <w:rPr>
          <w:sz w:val="20"/>
          <w:szCs w:val="20"/>
        </w:rPr>
        <w:t xml:space="preserve">3) </w:t>
      </w:r>
      <w:proofErr w:type="spellStart"/>
      <w:r w:rsidRPr="00A65BF5">
        <w:rPr>
          <w:sz w:val="20"/>
          <w:szCs w:val="20"/>
        </w:rPr>
        <w:t>неприостановление</w:t>
      </w:r>
      <w:proofErr w:type="spellEnd"/>
      <w:r w:rsidRPr="00A65BF5">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78A6" w:rsidRPr="00A65BF5" w:rsidRDefault="001E78A6" w:rsidP="001E78A6">
      <w:pPr>
        <w:framePr w:hSpace="180" w:wrap="around" w:vAnchor="text" w:hAnchor="text" w:x="-147" w:y="1"/>
        <w:autoSpaceDE w:val="0"/>
        <w:autoSpaceDN w:val="0"/>
        <w:adjustRightInd w:val="0"/>
        <w:ind w:firstLine="176"/>
        <w:suppressOverlap/>
        <w:rPr>
          <w:sz w:val="20"/>
          <w:szCs w:val="20"/>
        </w:rPr>
      </w:pPr>
      <w:r w:rsidRPr="00A65BF5">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78A6" w:rsidRPr="00A65BF5" w:rsidRDefault="001E78A6" w:rsidP="001E78A6">
      <w:pPr>
        <w:framePr w:hSpace="180" w:wrap="around" w:vAnchor="text" w:hAnchor="text" w:x="-147" w:y="1"/>
        <w:autoSpaceDE w:val="0"/>
        <w:autoSpaceDN w:val="0"/>
        <w:adjustRightInd w:val="0"/>
        <w:ind w:firstLine="176"/>
        <w:suppressOverlap/>
        <w:rPr>
          <w:sz w:val="20"/>
          <w:szCs w:val="20"/>
        </w:rPr>
      </w:pPr>
      <w:r w:rsidRPr="00A65BF5">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78A6" w:rsidRPr="00A65BF5" w:rsidRDefault="001E78A6" w:rsidP="001E78A6">
      <w:pPr>
        <w:framePr w:hSpace="180" w:wrap="around" w:vAnchor="text" w:hAnchor="text" w:x="-147" w:y="1"/>
        <w:autoSpaceDE w:val="0"/>
        <w:autoSpaceDN w:val="0"/>
        <w:adjustRightInd w:val="0"/>
        <w:ind w:firstLine="176"/>
        <w:suppressOverlap/>
        <w:rPr>
          <w:sz w:val="20"/>
          <w:szCs w:val="20"/>
        </w:rPr>
      </w:pPr>
      <w:r w:rsidRPr="00A65BF5">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78A6" w:rsidRPr="00A65BF5" w:rsidRDefault="001E78A6" w:rsidP="001E78A6">
      <w:pPr>
        <w:framePr w:hSpace="180" w:wrap="around" w:vAnchor="text" w:hAnchor="text" w:x="-147" w:y="1"/>
        <w:autoSpaceDE w:val="0"/>
        <w:autoSpaceDN w:val="0"/>
        <w:adjustRightInd w:val="0"/>
        <w:ind w:firstLine="176"/>
        <w:suppressOverlap/>
        <w:rPr>
          <w:color w:val="002060"/>
          <w:sz w:val="20"/>
          <w:szCs w:val="20"/>
        </w:rPr>
      </w:pPr>
      <w:r w:rsidRPr="00A65BF5">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A65BF5">
        <w:rPr>
          <w:color w:val="002060"/>
          <w:sz w:val="20"/>
          <w:szCs w:val="20"/>
        </w:rPr>
        <w:t>– не установлено;</w:t>
      </w:r>
    </w:p>
    <w:p w:rsidR="001E78A6" w:rsidRPr="00A65BF5" w:rsidRDefault="001E78A6" w:rsidP="001E78A6">
      <w:pPr>
        <w:framePr w:hSpace="180" w:wrap="around" w:vAnchor="text" w:hAnchor="text" w:x="-147" w:y="1"/>
        <w:autoSpaceDE w:val="0"/>
        <w:autoSpaceDN w:val="0"/>
        <w:adjustRightInd w:val="0"/>
        <w:ind w:firstLine="176"/>
        <w:suppressOverlap/>
        <w:rPr>
          <w:sz w:val="20"/>
          <w:szCs w:val="20"/>
        </w:rPr>
      </w:pPr>
      <w:r w:rsidRPr="00A65BF5">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65BF5">
        <w:rPr>
          <w:sz w:val="20"/>
          <w:szCs w:val="20"/>
        </w:rPr>
        <w:t>неполнородными</w:t>
      </w:r>
      <w:proofErr w:type="spellEnd"/>
      <w:r w:rsidRPr="00A65BF5">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78A6" w:rsidRPr="00A65BF5" w:rsidRDefault="001E78A6" w:rsidP="001E78A6">
      <w:pPr>
        <w:framePr w:hSpace="180" w:wrap="around" w:vAnchor="text" w:hAnchor="text" w:x="-147" w:y="1"/>
        <w:autoSpaceDE w:val="0"/>
        <w:autoSpaceDN w:val="0"/>
        <w:adjustRightInd w:val="0"/>
        <w:ind w:firstLine="176"/>
        <w:suppressOverlap/>
        <w:rPr>
          <w:sz w:val="20"/>
          <w:szCs w:val="20"/>
        </w:rPr>
      </w:pPr>
      <w:r w:rsidRPr="00A65BF5">
        <w:rPr>
          <w:sz w:val="20"/>
          <w:szCs w:val="20"/>
        </w:rPr>
        <w:t>8) участник закупки не является офшорной компанией;</w:t>
      </w:r>
    </w:p>
    <w:p w:rsidR="001E78A6" w:rsidRPr="00A65BF5" w:rsidRDefault="001E78A6" w:rsidP="001E78A6">
      <w:pPr>
        <w:framePr w:hSpace="180" w:wrap="around" w:vAnchor="text" w:hAnchor="text" w:x="-147" w:y="1"/>
        <w:autoSpaceDE w:val="0"/>
        <w:autoSpaceDN w:val="0"/>
        <w:adjustRightInd w:val="0"/>
        <w:ind w:firstLine="176"/>
        <w:suppressOverlap/>
        <w:rPr>
          <w:rFonts w:eastAsia="Calibri"/>
          <w:sz w:val="20"/>
          <w:szCs w:val="20"/>
        </w:rPr>
      </w:pPr>
      <w:r w:rsidRPr="00A65BF5">
        <w:rPr>
          <w:rFonts w:eastAsia="Calibri"/>
          <w:sz w:val="20"/>
          <w:szCs w:val="20"/>
        </w:rPr>
        <w:t>9) отсутствие у участника закупки ограничений для участия в закупках, установленных законодательством Российской Федерации.</w:t>
      </w:r>
    </w:p>
    <w:p w:rsidR="00965A6A" w:rsidRPr="00A65BF5" w:rsidRDefault="001E78A6" w:rsidP="001E78A6">
      <w:pPr>
        <w:rPr>
          <w:sz w:val="20"/>
          <w:szCs w:val="20"/>
        </w:rPr>
      </w:pPr>
      <w:r w:rsidRPr="00A65BF5">
        <w:rPr>
          <w:sz w:val="20"/>
          <w:szCs w:val="20"/>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965A6A" w:rsidRPr="00A65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A6"/>
    <w:rsid w:val="001E78A6"/>
    <w:rsid w:val="0049653B"/>
    <w:rsid w:val="00965A6A"/>
    <w:rsid w:val="00A65BF5"/>
    <w:rsid w:val="00CC6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3E75A-4DA8-4479-B8E8-6866B670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8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Побидаш Ольга Викторовна</dc:creator>
  <cp:keywords/>
  <dc:description/>
  <cp:lastModifiedBy>Побидаш Ольга Викторовна</cp:lastModifiedBy>
  <cp:revision>4</cp:revision>
  <dcterms:created xsi:type="dcterms:W3CDTF">2020-07-27T08:17:00Z</dcterms:created>
  <dcterms:modified xsi:type="dcterms:W3CDTF">2020-07-27T08:19:00Z</dcterms:modified>
</cp:coreProperties>
</file>