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закупки заказчик устанавливает следующие единые требования к участникам закупки:</w:t>
      </w:r>
    </w:p>
    <w:p w14:paraId="74F8E3C5" w14:textId="77777777" w:rsidR="000659BE" w:rsidRDefault="005665B8" w:rsidP="000659BE">
      <w:pPr>
        <w:pStyle w:val="3"/>
        <w:keepNext/>
        <w:spacing w:after="0"/>
        <w:jc w:val="both"/>
        <w:rPr>
          <w:sz w:val="22"/>
          <w:szCs w:val="22"/>
        </w:rPr>
      </w:pPr>
      <w:r>
        <w:rPr>
          <w:rFonts w:ascii="Arial" w:hAnsi="Arial" w:cs="Arial"/>
          <w:sz w:val="20"/>
          <w:szCs w:val="20"/>
        </w:rPr>
        <w:t xml:space="preserve">1) </w:t>
      </w:r>
      <w:r w:rsidR="000659BE">
        <w:rPr>
          <w:sz w:val="22"/>
          <w:szCs w:val="22"/>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 наличие собственной действующей лицензии участника закупки на медицинскую деятельность при оказании первичной специализированной медико-санитарной помощи в амбулаторных условиях по: сурдологии-оториноларингологии на территории Томской области    </w:t>
      </w:r>
    </w:p>
    <w:p w14:paraId="0B46F5BB" w14:textId="77777777" w:rsidR="000659BE" w:rsidRDefault="000659BE" w:rsidP="000659BE">
      <w:pPr>
        <w:keepNext/>
        <w:jc w:val="both"/>
        <w:rPr>
          <w:i/>
        </w:rPr>
      </w:pPr>
      <w:r>
        <w:rPr>
          <w:i/>
        </w:rPr>
        <w:t xml:space="preserve">или </w:t>
      </w:r>
    </w:p>
    <w:p w14:paraId="3C4DAF78" w14:textId="77777777" w:rsidR="000659BE" w:rsidRDefault="000659BE" w:rsidP="000659BE">
      <w:pPr>
        <w:keepNext/>
        <w:jc w:val="both"/>
      </w:pPr>
      <w:r>
        <w:t xml:space="preserve">наличие собственной действующей лицензии участника закупки на медицинскую деятельность при осуществлении амбулаторно-поликлинической медицинской помощи, в том числе при осуществлении специализированной медицинской помощи по: сурдологии-оториноларингологии на территории Томской области  </w:t>
      </w:r>
    </w:p>
    <w:p w14:paraId="0B5172B4" w14:textId="77777777" w:rsidR="000659BE" w:rsidRDefault="000659BE" w:rsidP="000659BE">
      <w:pPr>
        <w:keepNext/>
        <w:jc w:val="both"/>
        <w:rPr>
          <w:i/>
        </w:rPr>
      </w:pPr>
      <w:r>
        <w:rPr>
          <w:i/>
        </w:rPr>
        <w:t>или</w:t>
      </w:r>
    </w:p>
    <w:p w14:paraId="619E2A49" w14:textId="4EAA0A47" w:rsidR="005665B8" w:rsidRDefault="000659BE" w:rsidP="000659BE">
      <w:pPr>
        <w:autoSpaceDE w:val="0"/>
        <w:autoSpaceDN w:val="0"/>
        <w:adjustRightInd w:val="0"/>
        <w:spacing w:before="200" w:after="0" w:line="240" w:lineRule="auto"/>
        <w:ind w:firstLine="540"/>
        <w:jc w:val="both"/>
        <w:rPr>
          <w:rFonts w:ascii="Arial" w:hAnsi="Arial" w:cs="Arial"/>
          <w:sz w:val="20"/>
          <w:szCs w:val="20"/>
        </w:rPr>
      </w:pPr>
      <w:r>
        <w:t>привлечение к исполнению обязанности по индивидуальной настройке слуховых аппаратов Соисполнителя, имеющего лицензию на указанную деятельность</w:t>
      </w:r>
      <w:bookmarkStart w:id="0" w:name="_GoBack"/>
      <w:bookmarkEnd w:id="0"/>
      <w:r w:rsidR="005665B8">
        <w:rPr>
          <w:rFonts w:ascii="Arial" w:hAnsi="Arial" w:cs="Arial"/>
          <w:sz w:val="20"/>
          <w:szCs w:val="20"/>
        </w:rPr>
        <w:t>;</w:t>
      </w:r>
    </w:p>
    <w:p w14:paraId="0BC90C5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неприостановление деятельности участника закупки в порядке, установленном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Fonts w:ascii="Arial" w:hAnsi="Arial" w:cs="Arial"/>
            <w:color w:val="0000FF"/>
            <w:sz w:val="20"/>
            <w:szCs w:val="20"/>
          </w:rPr>
          <w:t>статьями 289</w:t>
        </w:r>
      </w:hyperlink>
      <w:r>
        <w:rPr>
          <w:rFonts w:ascii="Arial" w:hAnsi="Arial" w:cs="Arial"/>
          <w:sz w:val="20"/>
          <w:szCs w:val="20"/>
        </w:rPr>
        <w:t xml:space="preserve">, </w:t>
      </w:r>
      <w:hyperlink r:id="rId8" w:history="1">
        <w:r>
          <w:rPr>
            <w:rFonts w:ascii="Arial" w:hAnsi="Arial" w:cs="Arial"/>
            <w:color w:val="0000FF"/>
            <w:sz w:val="20"/>
            <w:szCs w:val="20"/>
          </w:rPr>
          <w:t>290</w:t>
        </w:r>
      </w:hyperlink>
      <w:r>
        <w:rPr>
          <w:rFonts w:ascii="Arial" w:hAnsi="Arial" w:cs="Arial"/>
          <w:sz w:val="20"/>
          <w:szCs w:val="20"/>
        </w:rPr>
        <w:t xml:space="preserve">, </w:t>
      </w:r>
      <w:hyperlink r:id="rId9" w:history="1">
        <w:r>
          <w:rPr>
            <w:rFonts w:ascii="Arial" w:hAnsi="Arial" w:cs="Arial"/>
            <w:color w:val="0000FF"/>
            <w:sz w:val="20"/>
            <w:szCs w:val="20"/>
          </w:rPr>
          <w:t>291</w:t>
        </w:r>
      </w:hyperlink>
      <w:r>
        <w:rPr>
          <w:rFonts w:ascii="Arial" w:hAnsi="Arial" w:cs="Arial"/>
          <w:sz w:val="20"/>
          <w:szCs w:val="20"/>
        </w:rPr>
        <w:t xml:space="preserve">, </w:t>
      </w:r>
      <w:hyperlink r:id="rId10"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14:paraId="2E17F62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Pr>
          <w:rFonts w:ascii="Arial" w:hAnsi="Arial" w:cs="Arial"/>
          <w:sz w:val="20"/>
          <w:szCs w:val="20"/>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не является офшорной компанией;</w:t>
      </w:r>
    </w:p>
    <w:p w14:paraId="464454B2"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659BE"/>
    <w:rsid w:val="00094C13"/>
    <w:rsid w:val="000C6DA6"/>
    <w:rsid w:val="0056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 w:type="paragraph" w:styleId="3">
    <w:name w:val="Body Text 3"/>
    <w:basedOn w:val="a"/>
    <w:link w:val="30"/>
    <w:unhideWhenUsed/>
    <w:rsid w:val="000659B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0659B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3</cp:revision>
  <dcterms:created xsi:type="dcterms:W3CDTF">2020-03-13T05:13:00Z</dcterms:created>
  <dcterms:modified xsi:type="dcterms:W3CDTF">2020-08-20T02:53:00Z</dcterms:modified>
</cp:coreProperties>
</file>