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Наличие у уч</w:t>
      </w:r>
      <w:bookmarkStart w:id="0" w:name="_GoBack"/>
      <w:bookmarkEnd w:id="0"/>
      <w:r w:rsidRPr="00F52B49">
        <w:rPr>
          <w:rFonts w:eastAsia="Arial"/>
          <w:color w:val="000000" w:themeColor="text1"/>
          <w:spacing w:val="-1"/>
          <w:kern w:val="3"/>
          <w:lang w:eastAsia="zh-CN" w:bidi="hi-IN"/>
        </w:rPr>
        <w:t xml:space="preserve">астника закупки </w:t>
      </w:r>
      <w:r w:rsidRPr="00F52B49">
        <w:rPr>
          <w:color w:val="000000" w:themeColor="text1"/>
        </w:rPr>
        <w:t xml:space="preserve">- </w:t>
      </w:r>
      <w:r w:rsidR="00C86200" w:rsidRPr="006047B2">
        <w:t>действующей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C86200" w:rsidRPr="006047B2">
        <w:t xml:space="preserve"> </w:t>
      </w:r>
      <w:proofErr w:type="gramStart"/>
      <w:r w:rsidR="00C86200" w:rsidRPr="006047B2">
        <w:t>территории инновационного центра «</w:t>
      </w:r>
      <w:proofErr w:type="spellStart"/>
      <w:r w:rsidR="00C86200" w:rsidRPr="006047B2">
        <w:t>Сколково</w:t>
      </w:r>
      <w:proofErr w:type="spellEnd"/>
      <w:r w:rsidR="00C86200" w:rsidRPr="006047B2">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C86200" w:rsidRPr="006047B2">
        <w:rPr>
          <w:b/>
        </w:rPr>
        <w:t>по: педиатрии, терапии, неврологии, травматологии и ортопедии, физиотерапии, рефлексотерапии, функциональной диагностике, лечебной физкультуре, медицинскому массажу;</w:t>
      </w:r>
      <w:proofErr w:type="gramEnd"/>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4703F9"/>
    <w:rsid w:val="00653AD5"/>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5</cp:revision>
  <dcterms:created xsi:type="dcterms:W3CDTF">2020-07-28T13:22:00Z</dcterms:created>
  <dcterms:modified xsi:type="dcterms:W3CDTF">2020-12-04T11:51:00Z</dcterms:modified>
</cp:coreProperties>
</file>