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E860D2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58297F" w:rsidRPr="00960D48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</w:t>
      </w:r>
      <w:r w:rsidRPr="00960D48">
        <w:rPr>
          <w:rFonts w:ascii="Times New Roman" w:hAnsi="Times New Roman" w:cs="Times New Roman"/>
          <w:bCs/>
          <w:sz w:val="24"/>
          <w:szCs w:val="24"/>
        </w:rPr>
        <w:t xml:space="preserve">Федерации к лицам, осуществляющим поставку товара, выполнение работы, оказание услуги, </w:t>
      </w:r>
      <w:proofErr w:type="gramStart"/>
      <w:r w:rsidRPr="00960D48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960D48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Pr="00960D48">
        <w:rPr>
          <w:rFonts w:ascii="Times New Roman" w:hAnsi="Times New Roman" w:cs="Times New Roman"/>
          <w:sz w:val="24"/>
          <w:szCs w:val="24"/>
        </w:rPr>
        <w:t>–</w:t>
      </w:r>
      <w:r w:rsidR="001C609B" w:rsidRPr="00960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0D48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="001D2544" w:rsidRPr="00960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750" w:rsidRPr="00960D48" w:rsidRDefault="00B1067C" w:rsidP="00D012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1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лицензии на осуществление деятельности в области оказания услуг почтовой связи и действующей на всей территории Российской Федерации на основании (п. 36 ч. 1 ст. 12 Федерального Закона от 04.05.2011г. № 99-ФЗ «О лицензировании отдельных видов деятельности», Федерального Закона от 07.07.2003 г. № 126-ФЗ «О связи»</w:t>
      </w:r>
      <w:r w:rsidR="00023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" w:name="_GoBack"/>
      <w:bookmarkEnd w:id="2"/>
      <w:r w:rsidRPr="00B1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60D4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60D48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</w:t>
      </w:r>
      <w:r w:rsidRPr="00B45750">
        <w:rPr>
          <w:rFonts w:ascii="Times New Roman" w:hAnsi="Times New Roman" w:cs="Times New Roman"/>
          <w:sz w:val="24"/>
          <w:szCs w:val="24"/>
        </w:rPr>
        <w:t xml:space="preserve">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обязанности 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E860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7566D3" w:rsidRPr="00B45750" w:rsidRDefault="007566D3" w:rsidP="007566D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</w:t>
      </w:r>
      <w:r w:rsidRPr="00535F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5FB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B45750">
        <w:rPr>
          <w:rFonts w:ascii="Times New Roman" w:hAnsi="Times New Roman" w:cs="Times New Roman"/>
          <w:sz w:val="24"/>
          <w:szCs w:val="24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  <w:proofErr w:type="gramEnd"/>
    </w:p>
    <w:p w:rsidR="0068382D" w:rsidRPr="00B45750" w:rsidRDefault="0068382D" w:rsidP="00E860D2">
      <w:pPr>
        <w:widowControl w:val="0"/>
        <w:suppressAutoHyphens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23EA0"/>
    <w:rsid w:val="000F740F"/>
    <w:rsid w:val="001C609B"/>
    <w:rsid w:val="001D2544"/>
    <w:rsid w:val="00243E48"/>
    <w:rsid w:val="002D36F8"/>
    <w:rsid w:val="00383E7A"/>
    <w:rsid w:val="0058297F"/>
    <w:rsid w:val="0068382D"/>
    <w:rsid w:val="006E5648"/>
    <w:rsid w:val="007566D3"/>
    <w:rsid w:val="00925FBD"/>
    <w:rsid w:val="00960D48"/>
    <w:rsid w:val="00A0520A"/>
    <w:rsid w:val="00AA341A"/>
    <w:rsid w:val="00B1067C"/>
    <w:rsid w:val="00B45750"/>
    <w:rsid w:val="00B82C6B"/>
    <w:rsid w:val="00B84D33"/>
    <w:rsid w:val="00BB3440"/>
    <w:rsid w:val="00C74C57"/>
    <w:rsid w:val="00D01295"/>
    <w:rsid w:val="00E57B76"/>
    <w:rsid w:val="00E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  <w:style w:type="paragraph" w:customStyle="1" w:styleId="ConsPlusNormal">
    <w:name w:val="ConsPlusNormal"/>
    <w:rsid w:val="00D0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CD3A-B79E-422A-89BF-30F2937C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ROSK1</dc:creator>
  <cp:lastModifiedBy>3200 Горбанева Елена Викторовна</cp:lastModifiedBy>
  <cp:revision>9</cp:revision>
  <cp:lastPrinted>2018-09-21T09:48:00Z</cp:lastPrinted>
  <dcterms:created xsi:type="dcterms:W3CDTF">2020-02-18T13:27:00Z</dcterms:created>
  <dcterms:modified xsi:type="dcterms:W3CDTF">2020-11-25T14:33:00Z</dcterms:modified>
</cp:coreProperties>
</file>