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5376" w14:textId="77777777" w:rsidR="005665B8" w:rsidRDefault="005665B8" w:rsidP="005665B8">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Требования к участникам закупки</w:t>
      </w:r>
    </w:p>
    <w:p w14:paraId="4F58D937"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p>
    <w:p w14:paraId="1E91FCDB"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закупки заказчик устанавливает следующие единые требования к участникам закупки:</w:t>
      </w:r>
    </w:p>
    <w:p w14:paraId="11945157" w14:textId="77777777" w:rsidR="00CF5986" w:rsidRPr="00BD06D8" w:rsidRDefault="005665B8" w:rsidP="00CF5986">
      <w:pPr>
        <w:autoSpaceDE w:val="0"/>
        <w:autoSpaceDN w:val="0"/>
        <w:adjustRightInd w:val="0"/>
        <w:jc w:val="both"/>
        <w:rPr>
          <w:color w:val="FF0000"/>
        </w:rPr>
      </w:pPr>
      <w:r>
        <w:rPr>
          <w:rFonts w:ascii="Arial" w:hAnsi="Arial" w:cs="Arial"/>
          <w:sz w:val="20"/>
          <w:szCs w:val="20"/>
        </w:rPr>
        <w:t xml:space="preserve">1) </w:t>
      </w:r>
      <w:r w:rsidR="00CF5986" w:rsidRPr="00BD06D8">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71BAFDE" w14:textId="1736380C" w:rsidR="00CF5986" w:rsidRDefault="00CF5986" w:rsidP="00CF5986">
      <w:pPr>
        <w:jc w:val="both"/>
      </w:pPr>
      <w:r w:rsidRPr="00BD06D8">
        <w:t>Оказание медицинских услуг</w:t>
      </w:r>
      <w:r w:rsidRPr="00BD06D8">
        <w:rPr>
          <w:color w:val="008000"/>
        </w:rPr>
        <w:t xml:space="preserve"> </w:t>
      </w:r>
      <w:r w:rsidRPr="00BD06D8">
        <w:t>по стоматологической помощи сотрудникам Государственного учреждения – Томского регионального отделения Фонда социального страхования Российской Федерации в 202</w:t>
      </w:r>
      <w:r>
        <w:t>1</w:t>
      </w:r>
      <w:r w:rsidRPr="00BD06D8">
        <w:t xml:space="preserve"> году, а именно наличие </w:t>
      </w:r>
      <w:r w:rsidRPr="00BD06D8">
        <w:rPr>
          <w:bCs/>
        </w:rPr>
        <w:t>действующей</w:t>
      </w:r>
      <w:r w:rsidRPr="00BD06D8">
        <w:rPr>
          <w:b/>
        </w:rPr>
        <w:t xml:space="preserve"> </w:t>
      </w:r>
      <w:r w:rsidRPr="00BD06D8">
        <w:t xml:space="preserve">лицензии на осуществление медицинской деятельности на выполнение работ (услуг), выполняемых (оказываемых) в составе лицензируемого вида деятельности, а именно: при оказании первичной доврачебной медико-санитарной помощи в амбулаторных условиях по: рентгенологии, при оказании первичной врачебной и (или) первичной специализированной медико - санитарной помощи в амбулаторных условиях по: стоматологии терапевтической и (или) стоматологии общей практики, стоматологии хирургической </w:t>
      </w:r>
      <w:r w:rsidRPr="00BD06D8">
        <w:rPr>
          <w:spacing w:val="-2"/>
        </w:rPr>
        <w:t xml:space="preserve">со всеми приложениями, выданная в соответствии </w:t>
      </w:r>
      <w:r w:rsidRPr="00BD06D8">
        <w:t xml:space="preserve">со статьей 12 Федерального закона 04.05.2011 № 99-ФЗ (с изменениями) «О лицензировании отдельных видов деятельности» и  </w:t>
      </w:r>
      <w:r w:rsidRPr="00BD06D8">
        <w:rPr>
          <w:spacing w:val="-2"/>
        </w:rPr>
        <w:t xml:space="preserve">Постановлением Правительства Российской Федерации </w:t>
      </w:r>
      <w:r w:rsidRPr="00BD06D8">
        <w:t>от 16 апреля 2012 г. N 291 (с изменениями)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w:t>
      </w:r>
      <w:r>
        <w:t>новационного центра «Сколково»);</w:t>
      </w:r>
      <w:bookmarkStart w:id="0" w:name="_GoBack"/>
      <w:bookmarkEnd w:id="0"/>
    </w:p>
    <w:p w14:paraId="0BC90C5D" w14:textId="6C36A473" w:rsidR="005665B8" w:rsidRPr="00CF5986" w:rsidRDefault="005665B8" w:rsidP="00CF5986">
      <w:pPr>
        <w:jc w:val="both"/>
      </w:pPr>
      <w:r>
        <w:rPr>
          <w:rFonts w:ascii="Arial" w:hAnsi="Arial" w:cs="Arial"/>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EBF718"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неприостановление деятельности участника закупки в порядке, установленном </w:t>
      </w:r>
      <w:hyperlink r:id="rId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на дату подачи заявки на участие в закупке;</w:t>
      </w:r>
    </w:p>
    <w:p w14:paraId="09732D1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965966"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Fonts w:ascii="Arial" w:hAnsi="Arial" w:cs="Arial"/>
            <w:color w:val="0000FF"/>
            <w:sz w:val="20"/>
            <w:szCs w:val="20"/>
          </w:rPr>
          <w:t>статьями 289</w:t>
        </w:r>
      </w:hyperlink>
      <w:r>
        <w:rPr>
          <w:rFonts w:ascii="Arial" w:hAnsi="Arial" w:cs="Arial"/>
          <w:sz w:val="20"/>
          <w:szCs w:val="20"/>
        </w:rPr>
        <w:t xml:space="preserve">, </w:t>
      </w:r>
      <w:hyperlink r:id="rId8" w:history="1">
        <w:r>
          <w:rPr>
            <w:rFonts w:ascii="Arial" w:hAnsi="Arial" w:cs="Arial"/>
            <w:color w:val="0000FF"/>
            <w:sz w:val="20"/>
            <w:szCs w:val="20"/>
          </w:rPr>
          <w:t>290</w:t>
        </w:r>
      </w:hyperlink>
      <w:r>
        <w:rPr>
          <w:rFonts w:ascii="Arial" w:hAnsi="Arial" w:cs="Arial"/>
          <w:sz w:val="20"/>
          <w:szCs w:val="20"/>
        </w:rPr>
        <w:t xml:space="preserve">, </w:t>
      </w:r>
      <w:hyperlink r:id="rId9" w:history="1">
        <w:r>
          <w:rPr>
            <w:rFonts w:ascii="Arial" w:hAnsi="Arial" w:cs="Arial"/>
            <w:color w:val="0000FF"/>
            <w:sz w:val="20"/>
            <w:szCs w:val="20"/>
          </w:rPr>
          <w:t>291</w:t>
        </w:r>
      </w:hyperlink>
      <w:r>
        <w:rPr>
          <w:rFonts w:ascii="Arial" w:hAnsi="Arial" w:cs="Arial"/>
          <w:sz w:val="20"/>
          <w:szCs w:val="20"/>
        </w:rPr>
        <w:t xml:space="preserve">, </w:t>
      </w:r>
      <w:hyperlink r:id="rId10" w:history="1">
        <w:r>
          <w:rPr>
            <w:rFonts w:ascii="Arial" w:hAnsi="Arial" w:cs="Arial"/>
            <w:color w:val="0000FF"/>
            <w:sz w:val="20"/>
            <w:szCs w:val="20"/>
          </w:rPr>
          <w:t>291.1</w:t>
        </w:r>
      </w:hyperlink>
      <w:r>
        <w:rPr>
          <w:rFonts w:ascii="Arial" w:hAnsi="Arial" w:cs="Arial"/>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F069C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Fonts w:ascii="Arial" w:hAnsi="Arial" w:cs="Arial"/>
            <w:color w:val="0000FF"/>
            <w:sz w:val="20"/>
            <w:szCs w:val="20"/>
          </w:rPr>
          <w:t>статьей 19.28</w:t>
        </w:r>
      </w:hyperlink>
      <w:r>
        <w:rPr>
          <w:rFonts w:ascii="Arial" w:hAnsi="Arial" w:cs="Arial"/>
          <w:sz w:val="20"/>
          <w:szCs w:val="20"/>
        </w:rPr>
        <w:t xml:space="preserve"> Кодекса Российской Федерации об административных правонарушениях;</w:t>
      </w:r>
    </w:p>
    <w:p w14:paraId="2E17F62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4BFD61"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участник закупки не является офшорной компанией;</w:t>
      </w:r>
    </w:p>
    <w:p w14:paraId="464454B2"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отсутствие у участника закупки ограничений для участия в закупках, установленных законодательством Российской Федерации.</w:t>
      </w:r>
    </w:p>
    <w:p w14:paraId="4671FE11" w14:textId="77777777" w:rsidR="000C6DA6" w:rsidRDefault="000C6DA6">
      <w:pPr>
        <w:rPr>
          <w:rFonts w:ascii="Arial" w:hAnsi="Arial" w:cs="Arial"/>
          <w:sz w:val="20"/>
          <w:szCs w:val="20"/>
        </w:rPr>
      </w:pPr>
    </w:p>
    <w:p w14:paraId="1E2C9E01" w14:textId="77777777" w:rsidR="00094C13" w:rsidRPr="008172F1" w:rsidRDefault="00094C13" w:rsidP="00094C13">
      <w:pPr>
        <w:widowControl w:val="0"/>
        <w:autoSpaceDE w:val="0"/>
        <w:autoSpaceDN w:val="0"/>
        <w:adjustRightInd w:val="0"/>
        <w:ind w:firstLine="540"/>
        <w:rPr>
          <w:bCs/>
        </w:rPr>
      </w:pPr>
      <w:r w:rsidRPr="006876E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0B65F4F" w14:textId="77777777" w:rsidR="00094C13" w:rsidRDefault="00094C13" w:rsidP="00094C13">
      <w:pPr>
        <w:rPr>
          <w:bCs/>
        </w:rPr>
      </w:pPr>
      <w:r w:rsidRPr="008172F1">
        <w:rPr>
          <w:bCs/>
        </w:rPr>
        <w:t>Указанные требования предъявляются в равной мере ко всем участникам закупок</w:t>
      </w:r>
    </w:p>
    <w:p w14:paraId="5F733675" w14:textId="77777777" w:rsidR="005665B8" w:rsidRDefault="005665B8" w:rsidP="00094C13"/>
    <w:sectPr w:rsidR="005665B8" w:rsidSect="00661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094C13"/>
    <w:rsid w:val="000C6DA6"/>
    <w:rsid w:val="005665B8"/>
    <w:rsid w:val="00C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8DF"/>
  <w15:chartTrackingRefBased/>
  <w15:docId w15:val="{7AC6E5B0-703E-4EB0-BBD2-A98FE1A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4C13"/>
    <w:rPr>
      <w:sz w:val="16"/>
      <w:szCs w:val="16"/>
    </w:rPr>
  </w:style>
  <w:style w:type="paragraph" w:styleId="a4">
    <w:name w:val="annotation text"/>
    <w:basedOn w:val="a"/>
    <w:link w:val="a5"/>
    <w:uiPriority w:val="99"/>
    <w:semiHidden/>
    <w:unhideWhenUsed/>
    <w:rsid w:val="00094C13"/>
    <w:pPr>
      <w:spacing w:line="240" w:lineRule="auto"/>
    </w:pPr>
    <w:rPr>
      <w:sz w:val="20"/>
      <w:szCs w:val="20"/>
    </w:rPr>
  </w:style>
  <w:style w:type="character" w:customStyle="1" w:styleId="a5">
    <w:name w:val="Текст примечания Знак"/>
    <w:basedOn w:val="a0"/>
    <w:link w:val="a4"/>
    <w:uiPriority w:val="99"/>
    <w:semiHidden/>
    <w:rsid w:val="00094C13"/>
    <w:rPr>
      <w:sz w:val="20"/>
      <w:szCs w:val="20"/>
    </w:rPr>
  </w:style>
  <w:style w:type="paragraph" w:styleId="a6">
    <w:name w:val="annotation subject"/>
    <w:basedOn w:val="a4"/>
    <w:next w:val="a4"/>
    <w:link w:val="a7"/>
    <w:uiPriority w:val="99"/>
    <w:semiHidden/>
    <w:unhideWhenUsed/>
    <w:rsid w:val="00094C13"/>
    <w:rPr>
      <w:b/>
      <w:bCs/>
    </w:rPr>
  </w:style>
  <w:style w:type="character" w:customStyle="1" w:styleId="a7">
    <w:name w:val="Тема примечания Знак"/>
    <w:basedOn w:val="a5"/>
    <w:link w:val="a6"/>
    <w:uiPriority w:val="99"/>
    <w:semiHidden/>
    <w:rsid w:val="00094C13"/>
    <w:rPr>
      <w:b/>
      <w:bCs/>
      <w:sz w:val="20"/>
      <w:szCs w:val="20"/>
    </w:rPr>
  </w:style>
  <w:style w:type="paragraph" w:styleId="a8">
    <w:name w:val="Balloon Text"/>
    <w:basedOn w:val="a"/>
    <w:link w:val="a9"/>
    <w:uiPriority w:val="99"/>
    <w:semiHidden/>
    <w:unhideWhenUsed/>
    <w:rsid w:val="00094C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87E998FBB42D35C758E503B8CF8D9A50018436BF990DD576AC2BF5AB0CBCDF87C194F462B91E1DA0B10C48F6A306DE19CA6512C5p8N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7887E998FBB42D35C758E503B8CF8D9A50018436BF990DD576AC2BF5AB0CBCDF87C197F466B51C4EFAA10801A2AD19DD04D4640CC58972p4N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7887E998FBB42D35C758E503B8CF8D9A50008D30BE990DD576AC2BF5AB0CBCDF87C197F567B91E1DA0B10C48F6A306DE19CA6512C5p8N9F" TargetMode="External"/><Relationship Id="rId11" Type="http://schemas.openxmlformats.org/officeDocument/2006/relationships/hyperlink" Target="consultantplus://offline/ref=CD7887E998FBB42D35C758E503B8CF8D9A50018436BC990DD576AC2BF5AB0CBCDF87C194F265BD1E1DA0B10C48F6A306DE19CA6512C5p8N9F" TargetMode="External"/><Relationship Id="rId5" Type="http://schemas.openxmlformats.org/officeDocument/2006/relationships/hyperlink" Target="consultantplus://offline/ref=CD7887E998FBB42D35C758E503B8CF8D9A50008D30BE990DD576AC2BF5AB0CBCDF87C197F565BE1E1DA0B10C48F6A306DE19CA6512C5p8N9F" TargetMode="External"/><Relationship Id="rId10" Type="http://schemas.openxmlformats.org/officeDocument/2006/relationships/hyperlink" Target="consultantplus://offline/ref=CD7887E998FBB42D35C758E503B8CF8D9A50018436BF990DD576AC2BF5AB0CBCDF87C194F46FBB1E1DA0B10C48F6A306DE19CA6512C5p8N9F" TargetMode="External"/><Relationship Id="rId4" Type="http://schemas.openxmlformats.org/officeDocument/2006/relationships/hyperlink" Target="consultantplus://offline/ref=CD7887E998FBB42D35C758E503B8CF8D9A50018436BC990DD576AC2BF5AB0CBCDF87C193F565B64118B5A05444F4BE18DD04D66710pCN7F" TargetMode="External"/><Relationship Id="rId9" Type="http://schemas.openxmlformats.org/officeDocument/2006/relationships/hyperlink" Target="consultantplus://offline/ref=CD7887E998FBB42D35C758E503B8CF8D9A50018436BF990DD576AC2BF5AB0CBCDF87C194F460BF1E1DA0B10C48F6A306DE19CA6512C5p8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Мамзер Светлана Владимировна</cp:lastModifiedBy>
  <cp:revision>3</cp:revision>
  <dcterms:created xsi:type="dcterms:W3CDTF">2020-03-13T05:13:00Z</dcterms:created>
  <dcterms:modified xsi:type="dcterms:W3CDTF">2021-01-19T08:09:00Z</dcterms:modified>
</cp:coreProperties>
</file>