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A6" w:rsidRDefault="00FD7DA6" w:rsidP="00FD7DA6">
      <w:pPr>
        <w:widowControl w:val="0"/>
        <w:ind w:firstLine="17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К участникам Конкурса устанавливаются следующие </w:t>
      </w:r>
      <w:r>
        <w:rPr>
          <w:color w:val="000000"/>
          <w:sz w:val="22"/>
          <w:szCs w:val="22"/>
        </w:rPr>
        <w:t>единые требования:</w:t>
      </w:r>
      <w:bookmarkStart w:id="0" w:name="Par538"/>
      <w:bookmarkEnd w:id="0"/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>
        <w:rPr>
          <w:sz w:val="22"/>
          <w:szCs w:val="22"/>
        </w:rPr>
        <w:t xml:space="preserve"> - не установлено;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>
        <w:rPr>
          <w:sz w:val="22"/>
          <w:szCs w:val="22"/>
        </w:rPr>
        <w:t xml:space="preserve"> предпринимателя несостоятельным (банкротом) и об открытии конкурсного производства;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>
        <w:rPr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DA6" w:rsidRDefault="00FD7DA6" w:rsidP="00FD7DA6">
      <w:pPr>
        <w:widowControl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</w:p>
    <w:p w:rsidR="00FD7DA6" w:rsidRDefault="00FD7DA6" w:rsidP="00FD7DA6">
      <w:pPr>
        <w:widowControl w:val="0"/>
        <w:ind w:firstLine="17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6739" w:rsidRDefault="00FD7DA6" w:rsidP="00FD7DA6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1" w:name="_GoBack"/>
      <w:bookmarkEnd w:id="1"/>
    </w:p>
    <w:sectPr w:rsidR="00F5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A"/>
    <w:rsid w:val="0098297A"/>
    <w:rsid w:val="00F56739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F776-C921-4A8A-87F3-B38440F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2</cp:revision>
  <dcterms:created xsi:type="dcterms:W3CDTF">2020-11-18T10:25:00Z</dcterms:created>
  <dcterms:modified xsi:type="dcterms:W3CDTF">2020-11-18T10:26:00Z</dcterms:modified>
</cp:coreProperties>
</file>