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DE0AA9"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Pr="00DE0AA9">
        <w:rPr>
          <w:rFonts w:ascii="Times New Roman" w:hAnsi="Times New Roman"/>
          <w:sz w:val="24"/>
        </w:rPr>
        <w:t>закупки</w:t>
      </w:r>
      <w:r w:rsidR="00C509EC" w:rsidRPr="00DE0AA9">
        <w:rPr>
          <w:rFonts w:ascii="Times New Roman" w:hAnsi="Times New Roman"/>
          <w:sz w:val="24"/>
        </w:rPr>
        <w:t xml:space="preserve"> </w:t>
      </w:r>
      <w:r w:rsidR="00085EFD" w:rsidRPr="00DE0AA9">
        <w:rPr>
          <w:rFonts w:ascii="Times New Roman" w:hAnsi="Times New Roman"/>
          <w:sz w:val="24"/>
        </w:rPr>
        <w:t>(</w:t>
      </w:r>
      <w:r w:rsidR="00DE0AA9" w:rsidRPr="00DE0AA9">
        <w:rPr>
          <w:rFonts w:ascii="Times New Roman" w:hAnsi="Times New Roman"/>
          <w:sz w:val="24"/>
        </w:rPr>
        <w:t xml:space="preserve">Организации,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 по специальностям: </w:t>
      </w:r>
      <w:r w:rsidR="00DE0AA9" w:rsidRPr="00DE0AA9">
        <w:rPr>
          <w:rFonts w:ascii="Times New Roman" w:hAnsi="Times New Roman"/>
          <w:color w:val="000000"/>
          <w:sz w:val="24"/>
        </w:rPr>
        <w:t xml:space="preserve">терапия, кардиология, </w:t>
      </w:r>
      <w:r w:rsidR="00DE0AA9" w:rsidRPr="00DE0AA9">
        <w:rPr>
          <w:rFonts w:ascii="Times New Roman" w:hAnsi="Times New Roman"/>
          <w:bCs/>
          <w:color w:val="000000"/>
          <w:sz w:val="24"/>
        </w:rPr>
        <w:t xml:space="preserve">травматология и ортопедия, </w:t>
      </w:r>
      <w:r w:rsidR="00DE0AA9" w:rsidRPr="00DE0AA9">
        <w:rPr>
          <w:rFonts w:ascii="Times New Roman" w:hAnsi="Times New Roman"/>
          <w:color w:val="000000"/>
          <w:sz w:val="24"/>
        </w:rPr>
        <w:t xml:space="preserve">неврология, гастроэнтерология, </w:t>
      </w:r>
      <w:r w:rsidR="00DE0AA9" w:rsidRPr="00DE0AA9">
        <w:rPr>
          <w:rFonts w:ascii="Times New Roman" w:hAnsi="Times New Roman"/>
          <w:bCs/>
          <w:color w:val="000000"/>
          <w:sz w:val="24"/>
        </w:rPr>
        <w:t xml:space="preserve">эндокринология, </w:t>
      </w:r>
      <w:r w:rsidR="00DE0AA9" w:rsidRPr="00DE0AA9">
        <w:rPr>
          <w:rFonts w:ascii="Times New Roman" w:hAnsi="Times New Roman"/>
          <w:color w:val="000000"/>
          <w:sz w:val="24"/>
        </w:rPr>
        <w:t xml:space="preserve">пульмонология, </w:t>
      </w:r>
      <w:r w:rsidR="00DE0AA9" w:rsidRPr="00DE0AA9">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085EFD" w:rsidRPr="00DE0AA9">
        <w:rPr>
          <w:rFonts w:ascii="Times New Roman" w:hAnsi="Times New Roman"/>
          <w:bCs/>
          <w:color w:val="000000"/>
          <w:sz w:val="24"/>
        </w:rPr>
        <w:t>)</w:t>
      </w:r>
      <w:r w:rsidRPr="00DE0AA9">
        <w:rPr>
          <w:rFonts w:ascii="Times New Roman" w:hAnsi="Times New Roman"/>
          <w:sz w:val="24"/>
        </w:rPr>
        <w:t>;</w:t>
      </w:r>
    </w:p>
    <w:p w:rsidR="000952E5" w:rsidRPr="00DE0AA9" w:rsidRDefault="000952E5" w:rsidP="000952E5">
      <w:pPr>
        <w:autoSpaceDE w:val="0"/>
        <w:autoSpaceDN w:val="0"/>
        <w:adjustRightInd w:val="0"/>
        <w:spacing w:before="120" w:after="120"/>
        <w:ind w:firstLine="176"/>
        <w:jc w:val="both"/>
        <w:rPr>
          <w:rFonts w:ascii="Times New Roman" w:hAnsi="Times New Roman"/>
          <w:sz w:val="24"/>
        </w:rPr>
      </w:pPr>
      <w:r w:rsidRPr="00DE0AA9">
        <w:rPr>
          <w:rFonts w:ascii="Times New Roman" w:hAnsi="Times New Roman"/>
          <w:sz w:val="24"/>
        </w:rPr>
        <w:t xml:space="preserve">2) </w:t>
      </w:r>
      <w:proofErr w:type="spellStart"/>
      <w:r w:rsidRPr="00DE0AA9">
        <w:rPr>
          <w:rFonts w:ascii="Times New Roman" w:hAnsi="Times New Roman"/>
          <w:sz w:val="24"/>
        </w:rPr>
        <w:t>непроведение</w:t>
      </w:r>
      <w:proofErr w:type="spellEnd"/>
      <w:r w:rsidRPr="00DE0AA9">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DE0AA9">
        <w:rPr>
          <w:rFonts w:ascii="Times New Roman" w:hAnsi="Times New Roman"/>
          <w:sz w:val="24"/>
        </w:rPr>
        <w:t xml:space="preserve">3) </w:t>
      </w:r>
      <w:proofErr w:type="spellStart"/>
      <w:r w:rsidRPr="00DE0AA9">
        <w:rPr>
          <w:rFonts w:ascii="Times New Roman" w:hAnsi="Times New Roman"/>
          <w:sz w:val="24"/>
        </w:rPr>
        <w:t>неприостановление</w:t>
      </w:r>
      <w:proofErr w:type="spellEnd"/>
      <w:r w:rsidRPr="00DE0AA9">
        <w:rPr>
          <w:rFonts w:ascii="Times New Roman" w:hAnsi="Times New Roman"/>
          <w:sz w:val="24"/>
        </w:rPr>
        <w:t xml:space="preserve"> деятельности участника</w:t>
      </w:r>
      <w:r w:rsidRPr="000952E5">
        <w:rPr>
          <w:rFonts w:ascii="Times New Roman" w:hAnsi="Times New Roman"/>
          <w:sz w:val="24"/>
        </w:rPr>
        <w:t xml:space="preserve">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bookmarkStart w:id="0" w:name="_GoBack"/>
      <w:bookmarkEnd w:id="0"/>
      <w:r w:rsidRPr="000952E5">
        <w:rPr>
          <w:rFonts w:ascii="Times New Roman" w:hAnsi="Times New Roman"/>
          <w:sz w:val="24"/>
        </w:rPr>
        <w:t>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w:t>
      </w:r>
      <w:r w:rsidRPr="000952E5">
        <w:rPr>
          <w:rFonts w:ascii="Times New Roman" w:hAnsi="Times New Roman"/>
          <w:sz w:val="24"/>
        </w:rPr>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 xml:space="preserve">Заказчиком установлено требование об отсутствии в </w:t>
      </w:r>
      <w:r w:rsidRPr="00F0047F">
        <w:rPr>
          <w:rFonts w:ascii="Times New Roman" w:hAnsi="Times New Roman"/>
          <w:sz w:val="24"/>
        </w:rPr>
        <w:t xml:space="preserve">предусмотренном </w:t>
      </w:r>
      <w:r w:rsidR="00F0047F" w:rsidRPr="00F0047F">
        <w:rPr>
          <w:rFonts w:ascii="Times New Roman" w:hAnsi="Times New Roman"/>
          <w:sz w:val="24"/>
        </w:rPr>
        <w:t xml:space="preserve">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w:t>
      </w:r>
      <w:r w:rsidRPr="00F0047F">
        <w:rPr>
          <w:rFonts w:ascii="Times New Roman" w:hAnsi="Times New Roman"/>
          <w:sz w:val="24"/>
        </w:rPr>
        <w:t xml:space="preserve"> реестре недобросовестных</w:t>
      </w:r>
      <w:r w:rsidRPr="000952E5">
        <w:rPr>
          <w:rFonts w:ascii="Times New Roman" w:hAnsi="Times New Roman"/>
          <w:sz w:val="24"/>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85EFD"/>
    <w:rsid w:val="000952E5"/>
    <w:rsid w:val="000B719F"/>
    <w:rsid w:val="00120E41"/>
    <w:rsid w:val="001452DB"/>
    <w:rsid w:val="00156FD9"/>
    <w:rsid w:val="00192A85"/>
    <w:rsid w:val="001A1C62"/>
    <w:rsid w:val="001B1CE5"/>
    <w:rsid w:val="001B5755"/>
    <w:rsid w:val="001E2666"/>
    <w:rsid w:val="001E45CC"/>
    <w:rsid w:val="0020393A"/>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A6DB5"/>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2206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C32AF"/>
    <w:rsid w:val="00CE6B35"/>
    <w:rsid w:val="00D342EF"/>
    <w:rsid w:val="00D508DE"/>
    <w:rsid w:val="00D870DE"/>
    <w:rsid w:val="00D901AE"/>
    <w:rsid w:val="00D939CB"/>
    <w:rsid w:val="00DD2875"/>
    <w:rsid w:val="00DD5C45"/>
    <w:rsid w:val="00DE0AA9"/>
    <w:rsid w:val="00DF2D24"/>
    <w:rsid w:val="00E2055A"/>
    <w:rsid w:val="00E2728F"/>
    <w:rsid w:val="00E94139"/>
    <w:rsid w:val="00E95B4A"/>
    <w:rsid w:val="00ED48A5"/>
    <w:rsid w:val="00F0047F"/>
    <w:rsid w:val="00F31844"/>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616</TotalTime>
  <Pages>2</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Сморякова Анна Сергеевна</cp:lastModifiedBy>
  <cp:revision>73</cp:revision>
  <cp:lastPrinted>2018-01-19T05:52:00Z</cp:lastPrinted>
  <dcterms:created xsi:type="dcterms:W3CDTF">2017-10-30T06:43:00Z</dcterms:created>
  <dcterms:modified xsi:type="dcterms:W3CDTF">2021-06-11T08:28:00Z</dcterms:modified>
</cp:coreProperties>
</file>