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463" w:rsidRDefault="00EA1463" w:rsidP="00EA1463">
      <w:pPr>
        <w:tabs>
          <w:tab w:val="left" w:pos="629"/>
        </w:tabs>
        <w:suppressAutoHyphens w:val="0"/>
        <w:spacing w:line="235" w:lineRule="auto"/>
        <w:ind w:firstLine="266"/>
        <w:jc w:val="center"/>
        <w:rPr>
          <w:b/>
          <w:sz w:val="28"/>
          <w:szCs w:val="22"/>
          <w:lang w:eastAsia="ru-RU" w:bidi="ru-RU"/>
        </w:rPr>
      </w:pPr>
      <w:r w:rsidRPr="00EA1463">
        <w:rPr>
          <w:b/>
          <w:sz w:val="28"/>
          <w:szCs w:val="22"/>
          <w:lang w:eastAsia="ru-RU" w:bidi="ru-RU"/>
        </w:rPr>
        <w:t>Единые требования к участникам закупки</w:t>
      </w:r>
    </w:p>
    <w:p w:rsidR="00EA1463" w:rsidRPr="00EA1463" w:rsidRDefault="00EA1463" w:rsidP="00EA1463">
      <w:pPr>
        <w:tabs>
          <w:tab w:val="left" w:pos="629"/>
        </w:tabs>
        <w:suppressAutoHyphens w:val="0"/>
        <w:spacing w:line="235" w:lineRule="auto"/>
        <w:ind w:firstLine="266"/>
        <w:jc w:val="center"/>
        <w:rPr>
          <w:b/>
          <w:sz w:val="28"/>
          <w:szCs w:val="22"/>
          <w:lang w:eastAsia="ru-RU" w:bidi="ru-RU"/>
        </w:rPr>
      </w:pPr>
    </w:p>
    <w:p w:rsidR="00EA1463" w:rsidRPr="00556D1C" w:rsidRDefault="00EA1463" w:rsidP="00EA1463">
      <w:pPr>
        <w:tabs>
          <w:tab w:val="left" w:pos="629"/>
        </w:tabs>
        <w:suppressAutoHyphens w:val="0"/>
        <w:spacing w:line="235" w:lineRule="auto"/>
        <w:ind w:firstLine="266"/>
        <w:jc w:val="both"/>
        <w:rPr>
          <w:sz w:val="22"/>
          <w:szCs w:val="22"/>
          <w:lang w:eastAsia="ru-RU" w:bidi="ru-RU"/>
        </w:rPr>
      </w:pPr>
      <w:r w:rsidRPr="00556D1C">
        <w:rPr>
          <w:sz w:val="22"/>
          <w:szCs w:val="22"/>
          <w:lang w:eastAsia="ru-RU" w:bidi="ru-RU"/>
        </w:rPr>
        <w:t>К участникам закупки устанавливаются следующие единые требования (ч. 1 ст. 31 Закона № 44-ФЗ):</w:t>
      </w:r>
    </w:p>
    <w:p w:rsidR="00EA1463" w:rsidRPr="00556D1C" w:rsidRDefault="00EA1463" w:rsidP="00EA1463">
      <w:pPr>
        <w:tabs>
          <w:tab w:val="left" w:pos="629"/>
        </w:tabs>
        <w:suppressAutoHyphens w:val="0"/>
        <w:spacing w:line="235" w:lineRule="auto"/>
        <w:ind w:firstLine="266"/>
        <w:jc w:val="both"/>
        <w:rPr>
          <w:sz w:val="22"/>
          <w:szCs w:val="22"/>
          <w:lang w:eastAsia="ru-RU" w:bidi="ru-RU"/>
        </w:rPr>
      </w:pPr>
      <w:r w:rsidRPr="00556D1C">
        <w:rPr>
          <w:sz w:val="22"/>
          <w:szCs w:val="22"/>
          <w:lang w:eastAsia="ru-RU" w:bidi="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556D1C">
        <w:rPr>
          <w:b/>
          <w:sz w:val="22"/>
          <w:szCs w:val="22"/>
          <w:lang w:eastAsia="ru-RU" w:bidi="ru-RU"/>
        </w:rPr>
        <w:t>не установлено</w:t>
      </w:r>
      <w:r w:rsidRPr="00556D1C">
        <w:rPr>
          <w:sz w:val="22"/>
          <w:szCs w:val="22"/>
          <w:lang w:eastAsia="ru-RU" w:bidi="ru-RU"/>
        </w:rPr>
        <w:t>;</w:t>
      </w:r>
    </w:p>
    <w:p w:rsidR="00EA1463" w:rsidRPr="00556D1C" w:rsidRDefault="00EA1463" w:rsidP="00EA1463">
      <w:pPr>
        <w:tabs>
          <w:tab w:val="left" w:pos="629"/>
        </w:tabs>
        <w:suppressAutoHyphens w:val="0"/>
        <w:spacing w:line="235" w:lineRule="auto"/>
        <w:ind w:firstLine="266"/>
        <w:jc w:val="both"/>
        <w:rPr>
          <w:sz w:val="22"/>
          <w:szCs w:val="22"/>
          <w:lang w:eastAsia="ru-RU" w:bidi="ru-RU"/>
        </w:rPr>
      </w:pPr>
      <w:r w:rsidRPr="00556D1C">
        <w:rPr>
          <w:sz w:val="22"/>
          <w:szCs w:val="22"/>
          <w:lang w:eastAsia="ru-RU" w:bidi="ru-RU"/>
        </w:rPr>
        <w:t>2)</w:t>
      </w:r>
      <w:r w:rsidRPr="00556D1C">
        <w:rPr>
          <w:sz w:val="22"/>
          <w:szCs w:val="22"/>
          <w:lang w:eastAsia="ru-RU" w:bidi="ru-RU"/>
        </w:rPr>
        <w:tab/>
      </w:r>
      <w:proofErr w:type="spellStart"/>
      <w:r w:rsidRPr="00556D1C">
        <w:rPr>
          <w:sz w:val="22"/>
          <w:szCs w:val="22"/>
          <w:lang w:eastAsia="ru-RU" w:bidi="ru-RU"/>
        </w:rPr>
        <w:t>непроведение</w:t>
      </w:r>
      <w:proofErr w:type="spellEnd"/>
      <w:r w:rsidRPr="00556D1C">
        <w:rPr>
          <w:sz w:val="22"/>
          <w:szCs w:val="22"/>
          <w:lang w:eastAsia="ru-RU" w:bidi="ru-RU"/>
        </w:rPr>
        <w:t xml:space="preserve"> ликвидации участника закупки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A1463" w:rsidRPr="00556D1C" w:rsidRDefault="00EA1463" w:rsidP="00EA1463">
      <w:pPr>
        <w:tabs>
          <w:tab w:val="left" w:pos="629"/>
        </w:tabs>
        <w:suppressAutoHyphens w:val="0"/>
        <w:spacing w:line="235" w:lineRule="auto"/>
        <w:ind w:firstLine="266"/>
        <w:jc w:val="both"/>
        <w:rPr>
          <w:sz w:val="22"/>
          <w:szCs w:val="22"/>
          <w:lang w:eastAsia="ru-RU" w:bidi="ru-RU"/>
        </w:rPr>
      </w:pPr>
      <w:r w:rsidRPr="00556D1C">
        <w:rPr>
          <w:sz w:val="22"/>
          <w:szCs w:val="22"/>
          <w:lang w:eastAsia="ru-RU" w:bidi="ru-RU"/>
        </w:rPr>
        <w:t>3)</w:t>
      </w:r>
      <w:r w:rsidRPr="00556D1C">
        <w:rPr>
          <w:sz w:val="22"/>
          <w:szCs w:val="22"/>
          <w:lang w:eastAsia="ru-RU" w:bidi="ru-RU"/>
        </w:rPr>
        <w:tab/>
      </w:r>
      <w:proofErr w:type="spellStart"/>
      <w:r w:rsidRPr="00556D1C">
        <w:rPr>
          <w:sz w:val="22"/>
          <w:szCs w:val="22"/>
          <w:lang w:eastAsia="ru-RU" w:bidi="ru-RU"/>
        </w:rPr>
        <w:t>неприостановление</w:t>
      </w:r>
      <w:proofErr w:type="spellEnd"/>
      <w:r w:rsidRPr="00556D1C">
        <w:rPr>
          <w:sz w:val="22"/>
          <w:szCs w:val="22"/>
          <w:lang w:eastAsia="ru-RU" w:bidi="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A1463" w:rsidRPr="00556D1C" w:rsidRDefault="00EA1463" w:rsidP="00EA1463">
      <w:pPr>
        <w:tabs>
          <w:tab w:val="left" w:pos="629"/>
        </w:tabs>
        <w:suppressAutoHyphens w:val="0"/>
        <w:spacing w:line="235" w:lineRule="auto"/>
        <w:ind w:firstLine="266"/>
        <w:jc w:val="both"/>
        <w:rPr>
          <w:sz w:val="22"/>
          <w:szCs w:val="22"/>
          <w:lang w:eastAsia="ru-RU" w:bidi="ru-RU"/>
        </w:rPr>
      </w:pPr>
      <w:r w:rsidRPr="00556D1C">
        <w:rPr>
          <w:sz w:val="22"/>
          <w:szCs w:val="22"/>
          <w:lang w:eastAsia="ru-RU" w:bidi="ru-RU"/>
        </w:rPr>
        <w:t>4)</w:t>
      </w:r>
      <w:r w:rsidRPr="00556D1C">
        <w:rPr>
          <w:sz w:val="22"/>
          <w:szCs w:val="22"/>
          <w:lang w:eastAsia="ru-RU" w:bidi="ru-RU"/>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A1463" w:rsidRPr="00556D1C" w:rsidRDefault="00EA1463" w:rsidP="00EA1463">
      <w:pPr>
        <w:tabs>
          <w:tab w:val="left" w:pos="629"/>
        </w:tabs>
        <w:suppressAutoHyphens w:val="0"/>
        <w:spacing w:line="235" w:lineRule="auto"/>
        <w:ind w:firstLine="266"/>
        <w:jc w:val="both"/>
        <w:rPr>
          <w:sz w:val="22"/>
          <w:szCs w:val="22"/>
          <w:lang w:eastAsia="ru-RU" w:bidi="ru-RU"/>
        </w:rPr>
      </w:pPr>
      <w:r w:rsidRPr="00556D1C">
        <w:rPr>
          <w:sz w:val="22"/>
          <w:szCs w:val="22"/>
          <w:lang w:eastAsia="ru-RU" w:bidi="ru-RU"/>
        </w:rPr>
        <w:t>5)</w:t>
      </w:r>
      <w:r w:rsidRPr="00556D1C">
        <w:rPr>
          <w:sz w:val="22"/>
          <w:szCs w:val="22"/>
          <w:lang w:eastAsia="ru-RU" w:bidi="ru-RU"/>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A1463" w:rsidRPr="00556D1C" w:rsidRDefault="00EA1463" w:rsidP="00EA1463">
      <w:pPr>
        <w:tabs>
          <w:tab w:val="left" w:pos="629"/>
        </w:tabs>
        <w:suppressAutoHyphens w:val="0"/>
        <w:spacing w:line="235" w:lineRule="auto"/>
        <w:ind w:firstLine="266"/>
        <w:jc w:val="both"/>
        <w:rPr>
          <w:sz w:val="22"/>
          <w:szCs w:val="22"/>
          <w:lang w:eastAsia="ru-RU" w:bidi="ru-RU"/>
        </w:rPr>
      </w:pPr>
      <w:r w:rsidRPr="00556D1C">
        <w:rPr>
          <w:sz w:val="22"/>
          <w:szCs w:val="22"/>
          <w:lang w:eastAsia="ru-RU" w:bidi="ru-RU"/>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A1463" w:rsidRPr="00556D1C" w:rsidRDefault="00EA1463" w:rsidP="00EA1463">
      <w:pPr>
        <w:tabs>
          <w:tab w:val="left" w:pos="629"/>
        </w:tabs>
        <w:suppressAutoHyphens w:val="0"/>
        <w:spacing w:line="235" w:lineRule="auto"/>
        <w:ind w:firstLine="266"/>
        <w:jc w:val="both"/>
        <w:rPr>
          <w:sz w:val="22"/>
          <w:szCs w:val="22"/>
          <w:lang w:eastAsia="ru-RU" w:bidi="ru-RU"/>
        </w:rPr>
      </w:pPr>
      <w:r w:rsidRPr="00556D1C">
        <w:rPr>
          <w:sz w:val="22"/>
          <w:szCs w:val="22"/>
          <w:lang w:eastAsia="ru-RU" w:bidi="ru-RU"/>
        </w:rPr>
        <w:t>7)</w:t>
      </w:r>
      <w:r w:rsidRPr="00556D1C">
        <w:rPr>
          <w:sz w:val="22"/>
          <w:szCs w:val="22"/>
          <w:lang w:eastAsia="ru-RU" w:bidi="ru-RU"/>
        </w:rP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56D1C">
        <w:rPr>
          <w:sz w:val="22"/>
          <w:szCs w:val="22"/>
          <w:lang w:eastAsia="ru-RU" w:bidi="ru-RU"/>
        </w:rPr>
        <w:t>неполнородными</w:t>
      </w:r>
      <w:proofErr w:type="spellEnd"/>
      <w:r w:rsidRPr="00556D1C">
        <w:rPr>
          <w:sz w:val="22"/>
          <w:szCs w:val="22"/>
          <w:lang w:eastAsia="ru-RU" w:bidi="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A1463" w:rsidRPr="00556D1C" w:rsidRDefault="00EA1463" w:rsidP="00EA1463">
      <w:pPr>
        <w:tabs>
          <w:tab w:val="left" w:pos="629"/>
        </w:tabs>
        <w:suppressAutoHyphens w:val="0"/>
        <w:spacing w:line="235" w:lineRule="auto"/>
        <w:ind w:firstLine="266"/>
        <w:jc w:val="both"/>
        <w:rPr>
          <w:sz w:val="22"/>
          <w:szCs w:val="22"/>
          <w:lang w:eastAsia="ru-RU" w:bidi="ru-RU"/>
        </w:rPr>
      </w:pPr>
      <w:r w:rsidRPr="00556D1C">
        <w:rPr>
          <w:sz w:val="22"/>
          <w:szCs w:val="22"/>
          <w:lang w:eastAsia="ru-RU" w:bidi="ru-RU"/>
        </w:rPr>
        <w:lastRenderedPageBreak/>
        <w:t>8) участник закупки не является офшорной компанией;</w:t>
      </w:r>
    </w:p>
    <w:p w:rsidR="00EA1463" w:rsidRDefault="00570DD7" w:rsidP="00EA1463">
      <w:pPr>
        <w:tabs>
          <w:tab w:val="left" w:pos="629"/>
        </w:tabs>
        <w:suppressAutoHyphens w:val="0"/>
        <w:spacing w:line="235" w:lineRule="auto"/>
        <w:ind w:firstLine="266"/>
        <w:jc w:val="both"/>
        <w:rPr>
          <w:rFonts w:eastAsia="Lucida Sans Unicode"/>
          <w:kern w:val="2"/>
          <w:sz w:val="22"/>
          <w:szCs w:val="22"/>
        </w:rPr>
      </w:pPr>
      <w:r>
        <w:rPr>
          <w:rFonts w:eastAsia="Lucida Sans Unicode"/>
          <w:kern w:val="2"/>
          <w:sz w:val="22"/>
          <w:szCs w:val="22"/>
        </w:rPr>
        <w:t>9</w:t>
      </w:r>
      <w:r w:rsidR="00EA1463" w:rsidRPr="00556D1C">
        <w:rPr>
          <w:rFonts w:eastAsia="Lucida Sans Unicode"/>
          <w:kern w:val="2"/>
          <w:sz w:val="22"/>
          <w:szCs w:val="22"/>
        </w:rPr>
        <w:t xml:space="preserve">) </w:t>
      </w:r>
      <w:r w:rsidR="00EA1463" w:rsidRPr="003E6123">
        <w:rPr>
          <w:rFonts w:eastAsia="Lucida Sans Unicode"/>
          <w:kern w:val="2"/>
          <w:sz w:val="22"/>
          <w:szCs w:val="22"/>
        </w:rPr>
        <w:t>участники электронного аукциона обязаны продекларировать в заявках свою принадлежность к субъектам малого предпринимательства в соответствии с Федеральным законом от 24 июля 2007 г. N 209-ФЗ "О развитии малого и среднего предпринимательства в Российской Федерации" или социально ориентированным некоммерческим организациям в соответствии с Федеральным законом от 12 января 1996 г. N 7-ФЗ "О некоммерческих организациях".</w:t>
      </w:r>
    </w:p>
    <w:p w:rsidR="00A41998" w:rsidRDefault="00570DD7" w:rsidP="00570DD7">
      <w:r>
        <w:rPr>
          <w:rFonts w:eastAsia="Lucida Sans Unicode"/>
          <w:kern w:val="2"/>
          <w:sz w:val="22"/>
          <w:szCs w:val="22"/>
          <w:lang w:bidi="ru-RU"/>
        </w:rPr>
        <w:t xml:space="preserve">    </w:t>
      </w:r>
      <w:r w:rsidRPr="00570DD7">
        <w:rPr>
          <w:rFonts w:eastAsia="Lucida Sans Unicode"/>
          <w:kern w:val="2"/>
          <w:sz w:val="22"/>
          <w:szCs w:val="22"/>
          <w:lang w:bidi="ru-RU"/>
        </w:rPr>
        <w:t>Заказчиком установлено т</w:t>
      </w:r>
      <w:r>
        <w:rPr>
          <w:rFonts w:eastAsia="Lucida Sans Unicode"/>
          <w:kern w:val="2"/>
          <w:sz w:val="22"/>
          <w:szCs w:val="22"/>
          <w:lang w:bidi="ru-RU"/>
        </w:rPr>
        <w:t>ребование об отсутствии в преду</w:t>
      </w:r>
      <w:r w:rsidRPr="00570DD7">
        <w:rPr>
          <w:rFonts w:eastAsia="Lucida Sans Unicode"/>
          <w:kern w:val="2"/>
          <w:sz w:val="22"/>
          <w:szCs w:val="22"/>
          <w:lang w:bidi="ru-RU"/>
        </w:rPr>
        <w:t>смотренном Федеральны</w:t>
      </w:r>
      <w:r>
        <w:rPr>
          <w:rFonts w:eastAsia="Lucida Sans Unicode"/>
          <w:kern w:val="2"/>
          <w:sz w:val="22"/>
          <w:szCs w:val="22"/>
          <w:lang w:bidi="ru-RU"/>
        </w:rPr>
        <w:t>м законом № 44-ФЗ реестре недоб</w:t>
      </w:r>
      <w:r w:rsidRPr="00570DD7">
        <w:rPr>
          <w:rFonts w:eastAsia="Lucida Sans Unicode"/>
          <w:kern w:val="2"/>
          <w:sz w:val="22"/>
          <w:szCs w:val="22"/>
          <w:lang w:bidi="ru-RU"/>
        </w:rPr>
        <w:t>росовестных поставщиков</w:t>
      </w:r>
      <w:r>
        <w:rPr>
          <w:rFonts w:eastAsia="Lucida Sans Unicode"/>
          <w:kern w:val="2"/>
          <w:sz w:val="22"/>
          <w:szCs w:val="22"/>
          <w:lang w:bidi="ru-RU"/>
        </w:rPr>
        <w:t xml:space="preserve"> (подрядчиков, исполнителей) ин</w:t>
      </w:r>
      <w:r w:rsidRPr="00570DD7">
        <w:rPr>
          <w:rFonts w:eastAsia="Lucida Sans Unicode"/>
          <w:kern w:val="2"/>
          <w:sz w:val="22"/>
          <w:szCs w:val="22"/>
          <w:lang w:bidi="ru-RU"/>
        </w:rPr>
        <w:t>формации об участнике закупки, в том числе информации о лицах, указанных в пунктах 2 и 3 части 3 статьи 104 Закона №44-ФЗ. (ч. 1.1 ст. 31 Закона № 44-ФЗ).</w:t>
      </w:r>
      <w:bookmarkStart w:id="0" w:name="_GoBack"/>
      <w:bookmarkEnd w:id="0"/>
    </w:p>
    <w:sectPr w:rsidR="00A419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463"/>
    <w:rsid w:val="00570DD7"/>
    <w:rsid w:val="00A41998"/>
    <w:rsid w:val="00EA1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6BA09-602C-4D29-B773-4B9DEB63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463"/>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786</Words>
  <Characters>4481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3500 Михина Ирина Васильевна</dc:creator>
  <cp:keywords/>
  <dc:description/>
  <cp:lastModifiedBy>3500 Дивидентова Наталья Станиславовна</cp:lastModifiedBy>
  <cp:revision>2</cp:revision>
  <dcterms:created xsi:type="dcterms:W3CDTF">2021-06-23T05:41:00Z</dcterms:created>
  <dcterms:modified xsi:type="dcterms:W3CDTF">2021-07-07T15:20:00Z</dcterms:modified>
</cp:coreProperties>
</file>