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393A36" w:rsidRPr="00393A36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393A36">
        <w:rPr>
          <w:rFonts w:eastAsia="Times New Roman" w:cs="Times New Roman"/>
        </w:rPr>
        <w:t xml:space="preserve"> - </w:t>
      </w:r>
      <w:r w:rsidR="00393A36" w:rsidRPr="00393A36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8B450B">
        <w:rPr>
          <w:rFonts w:cs="Times New Roman"/>
          <w:b/>
        </w:rPr>
        <w:t xml:space="preserve">Не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D2B72">
        <w:rPr>
          <w:rFonts w:cs="Times New Roman"/>
        </w:rPr>
        <w:t>онарушениях (п.7.1. ч.1 ст.31 Закона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6624D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6456A9" w:rsidRPr="0081058D" w:rsidRDefault="006624DC" w:rsidP="0081058D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6624DC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  <w:bookmarkStart w:id="0" w:name="_GoBack"/>
      <w:bookmarkEnd w:id="0"/>
    </w:p>
    <w:sectPr w:rsidR="006456A9" w:rsidRPr="008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32526"/>
    <w:rsid w:val="00173BDB"/>
    <w:rsid w:val="00257724"/>
    <w:rsid w:val="002E6B67"/>
    <w:rsid w:val="00365901"/>
    <w:rsid w:val="00393A36"/>
    <w:rsid w:val="004866D2"/>
    <w:rsid w:val="005655DE"/>
    <w:rsid w:val="006456A9"/>
    <w:rsid w:val="006624DC"/>
    <w:rsid w:val="007330C4"/>
    <w:rsid w:val="0081058D"/>
    <w:rsid w:val="008B450B"/>
    <w:rsid w:val="008D2B72"/>
    <w:rsid w:val="009E6AE9"/>
    <w:rsid w:val="00CC2D3E"/>
    <w:rsid w:val="00D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6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3</cp:revision>
  <dcterms:created xsi:type="dcterms:W3CDTF">2021-07-08T07:05:00Z</dcterms:created>
  <dcterms:modified xsi:type="dcterms:W3CDTF">2021-08-24T05:46:00Z</dcterms:modified>
</cp:coreProperties>
</file>