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60" w:rsidRPr="009D3160" w:rsidRDefault="009D3160" w:rsidP="009D3160">
      <w:pPr>
        <w:widowControl w:val="0"/>
        <w:numPr>
          <w:ilvl w:val="0"/>
          <w:numId w:val="2"/>
        </w:num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i/>
          <w:lang w:val="en-US" w:eastAsia="ru-RU"/>
        </w:rPr>
      </w:pPr>
      <w:proofErr w:type="spellStart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>Приложение</w:t>
      </w:r>
      <w:proofErr w:type="spellEnd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i/>
          <w:lang w:eastAsia="ru-RU"/>
        </w:rPr>
        <w:t>1</w:t>
      </w:r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</w:p>
    <w:p w:rsidR="009D3160" w:rsidRPr="009D3160" w:rsidRDefault="009D3160" w:rsidP="009D3160">
      <w:pPr>
        <w:widowControl w:val="0"/>
        <w:numPr>
          <w:ilvl w:val="0"/>
          <w:numId w:val="2"/>
        </w:num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i/>
          <w:lang w:val="en-US" w:eastAsia="ru-RU"/>
        </w:rPr>
      </w:pPr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к </w:t>
      </w:r>
      <w:proofErr w:type="spellStart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>извещению</w:t>
      </w:r>
      <w:proofErr w:type="spellEnd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о </w:t>
      </w:r>
      <w:proofErr w:type="spellStart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>проведении</w:t>
      </w:r>
      <w:proofErr w:type="spellEnd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 xml:space="preserve"> </w:t>
      </w:r>
      <w:proofErr w:type="spellStart"/>
      <w:r w:rsidRPr="009D3160">
        <w:rPr>
          <w:rFonts w:ascii="Times New Roman" w:eastAsia="Times New Roman" w:hAnsi="Times New Roman" w:cs="Times New Roman"/>
          <w:bCs/>
          <w:i/>
          <w:lang w:val="en-US" w:eastAsia="ru-RU"/>
        </w:rPr>
        <w:t>закупки</w:t>
      </w:r>
      <w:proofErr w:type="spellEnd"/>
    </w:p>
    <w:p w:rsidR="009D3160" w:rsidRDefault="009D3160" w:rsidP="0037525C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525C" w:rsidRPr="0037525C" w:rsidRDefault="0037525C" w:rsidP="0037525C">
      <w:pPr>
        <w:spacing w:after="0" w:line="19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52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объекта закупки (техническое задание)</w:t>
      </w:r>
    </w:p>
    <w:p w:rsidR="0037525C" w:rsidRPr="0037525C" w:rsidRDefault="0037525C" w:rsidP="0037525C">
      <w:pPr>
        <w:spacing w:after="247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25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поставку </w:t>
      </w:r>
      <w:r w:rsidRPr="003752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сигнализаторов звука цифровых</w:t>
      </w:r>
      <w:r w:rsidRPr="0037525C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</w:t>
      </w:r>
      <w:r w:rsidRPr="00375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(далее – Изделия) для </w:t>
      </w:r>
      <w:r w:rsidRPr="0037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обеспечения граждан (далее-Получатели)</w:t>
      </w:r>
      <w:r w:rsidRPr="003752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2024 году</w:t>
      </w:r>
    </w:p>
    <w:p w:rsidR="0037525C" w:rsidRPr="0037525C" w:rsidRDefault="0037525C" w:rsidP="0037525C">
      <w:pPr>
        <w:spacing w:after="0" w:line="192" w:lineRule="auto"/>
        <w:ind w:left="-5" w:right="-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 поставки Товара Получателям:</w:t>
      </w: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даты получения от Заказчика реестра получателей Товара до 3</w:t>
      </w:r>
      <w:r w:rsidR="001E55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.10.2024 года (включительно).</w:t>
      </w:r>
    </w:p>
    <w:p w:rsidR="0037525C" w:rsidRPr="0037525C" w:rsidRDefault="0037525C" w:rsidP="0037525C">
      <w:pPr>
        <w:spacing w:after="0" w:line="192" w:lineRule="auto"/>
        <w:ind w:left="-5" w:right="-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доставки Товара:</w:t>
      </w: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Санкт-Петербург и Ленинградская область.</w:t>
      </w:r>
    </w:p>
    <w:p w:rsidR="0037525C" w:rsidRPr="0037525C" w:rsidRDefault="0037525C" w:rsidP="0037525C">
      <w:pPr>
        <w:spacing w:after="0" w:line="192" w:lineRule="auto"/>
        <w:ind w:left="-5" w:right="-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Место жительства (место пребывания, фактического проживания) Получателей:</w:t>
      </w: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Санкт-Петербург и Ленинградская область.</w:t>
      </w:r>
    </w:p>
    <w:p w:rsidR="0037525C" w:rsidRPr="0037525C" w:rsidRDefault="0037525C" w:rsidP="0037525C">
      <w:pPr>
        <w:numPr>
          <w:ilvl w:val="0"/>
          <w:numId w:val="1"/>
        </w:numPr>
        <w:spacing w:after="3" w:line="192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37525C" w:rsidRPr="0037525C" w:rsidRDefault="0037525C" w:rsidP="0037525C">
      <w:pPr>
        <w:spacing w:after="3" w:line="247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819"/>
        <w:gridCol w:w="1559"/>
      </w:tblGrid>
      <w:tr w:rsidR="0037525C" w:rsidRPr="0037525C" w:rsidTr="00564F63">
        <w:trPr>
          <w:trHeight w:val="331"/>
        </w:trPr>
        <w:tc>
          <w:tcPr>
            <w:tcW w:w="567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81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поставки на 2024 год</w:t>
            </w:r>
          </w:p>
        </w:tc>
        <w:tc>
          <w:tcPr>
            <w:tcW w:w="155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37525C" w:rsidRPr="0037525C" w:rsidTr="00564F63">
        <w:trPr>
          <w:trHeight w:val="555"/>
        </w:trPr>
        <w:tc>
          <w:tcPr>
            <w:tcW w:w="567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звука цифровой со световой индикацией</w:t>
            </w:r>
          </w:p>
        </w:tc>
        <w:tc>
          <w:tcPr>
            <w:tcW w:w="481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календарных дней с даты заключения государственного контракта</w:t>
            </w:r>
          </w:p>
        </w:tc>
        <w:tc>
          <w:tcPr>
            <w:tcW w:w="155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7525C" w:rsidRPr="0037525C" w:rsidTr="00564F63">
        <w:trPr>
          <w:trHeight w:val="637"/>
        </w:trPr>
        <w:tc>
          <w:tcPr>
            <w:tcW w:w="567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481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календарных дней с даты заключения государственного контракта</w:t>
            </w:r>
          </w:p>
        </w:tc>
        <w:tc>
          <w:tcPr>
            <w:tcW w:w="155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7525C" w:rsidRPr="0037525C" w:rsidTr="00564F63">
        <w:trPr>
          <w:trHeight w:val="495"/>
        </w:trPr>
        <w:tc>
          <w:tcPr>
            <w:tcW w:w="567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481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календарных дней с даты заключения государственного контракта</w:t>
            </w:r>
          </w:p>
        </w:tc>
        <w:tc>
          <w:tcPr>
            <w:tcW w:w="155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37525C" w:rsidRPr="0037525C" w:rsidTr="00564F63">
        <w:tc>
          <w:tcPr>
            <w:tcW w:w="8647" w:type="dxa"/>
            <w:gridSpan w:val="3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37525C" w:rsidRPr="0037525C" w:rsidRDefault="0037525C" w:rsidP="0037525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</w:tr>
    </w:tbl>
    <w:p w:rsidR="0037525C" w:rsidRPr="0037525C" w:rsidRDefault="0037525C" w:rsidP="0037525C">
      <w:pPr>
        <w:spacing w:after="3" w:line="247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7525C" w:rsidRPr="0037525C" w:rsidRDefault="0037525C" w:rsidP="0037525C">
      <w:pPr>
        <w:numPr>
          <w:ilvl w:val="0"/>
          <w:numId w:val="1"/>
        </w:numPr>
        <w:spacing w:after="0" w:line="192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37525C" w:rsidRPr="0037525C" w:rsidRDefault="0037525C" w:rsidP="0037525C">
      <w:pPr>
        <w:spacing w:after="0" w:line="192" w:lineRule="auto"/>
        <w:ind w:left="-5" w:right="-1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3.Товар должен отвечать следующим требованиям:</w:t>
      </w:r>
    </w:p>
    <w:p w:rsidR="0037525C" w:rsidRPr="0037525C" w:rsidRDefault="0037525C" w:rsidP="0037525C">
      <w:pPr>
        <w:spacing w:after="0" w:line="192" w:lineRule="auto"/>
        <w:ind w:left="-5" w:right="-1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50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15"/>
        <w:gridCol w:w="1227"/>
        <w:gridCol w:w="5330"/>
        <w:gridCol w:w="1160"/>
        <w:gridCol w:w="781"/>
      </w:tblGrid>
      <w:tr w:rsidR="0037525C" w:rsidRPr="0037525C" w:rsidTr="00564F63">
        <w:tc>
          <w:tcPr>
            <w:tcW w:w="259" w:type="pc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50" w:type="pc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</w:tc>
        <w:tc>
          <w:tcPr>
            <w:tcW w:w="605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по КТРУ</w:t>
            </w:r>
          </w:p>
        </w:tc>
        <w:tc>
          <w:tcPr>
            <w:tcW w:w="2629" w:type="pc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Товара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  <w:tc>
          <w:tcPr>
            <w:tcW w:w="385" w:type="pc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Кол-во (шт.)</w:t>
            </w:r>
          </w:p>
        </w:tc>
      </w:tr>
      <w:tr w:rsidR="0037525C" w:rsidRPr="0037525C" w:rsidTr="00564F63">
        <w:tc>
          <w:tcPr>
            <w:tcW w:w="259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Сигнализатор звука цифровой со световой индикацией</w:t>
            </w:r>
          </w:p>
        </w:tc>
        <w:tc>
          <w:tcPr>
            <w:tcW w:w="605" w:type="pct"/>
            <w:vMerge w:val="restart"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Сигнализатор звука цифровой с световой индикацией</w:t>
            </w: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 звука цифровой со световой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 Требования к функциональным и техническим характеристикам: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радиус устойчивого приема сигнала в условиях прямой видимости- не менее 30 м;</w:t>
            </w:r>
          </w:p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- рабочая частота: 433,92 МГц </w:t>
            </w: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±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0,2 %.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Настольный (настенный) приемник со световой индикацией.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Настольный (настенный) приемник со световой индикацией должен служить для оповещения пользователя о наличие бытовых сигналов: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дверного звонка;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домофона;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сотового телефона (смартфона).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Настольный (настенный) световой приемник должен иметь возможность устанавливаться в удобном для 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lastRenderedPageBreak/>
              <w:t>наблюдения месте (прикроватная тумба, стол, стена и т.д.). Настольный (настенный) приемник должен иметь дисплей. Настольный (настенный) приемник должен оповещать пользователя о произошедших бытовых событиях с помощью: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световой индикации;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звуковой индикации;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 текстовом виде (за счет текста на русском языке).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Настольный (настенный) приемник должен иметь: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кнопку включения и выключения;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меню;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будильник;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- </w:t>
            </w:r>
            <w:r w:rsidRPr="007B24DD">
              <w:rPr>
                <w:rFonts w:ascii="Times New Roman" w:eastAsia="Lucida Sans Unicode" w:hAnsi="Times New Roman" w:cs="Times New Roman"/>
                <w:kern w:val="1"/>
                <w:highlight w:val="yellow"/>
                <w:lang w:eastAsia="ru-RU"/>
              </w:rPr>
              <w:t>возможность одновременно в световом, звуковом и текстовом виде (за счет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текста на русском языке) информировать пользователя о происходящем событии;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регулировку уровня громкости и мелодии звуковых сигналов;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регулировка цвета звуковых сигналов в целях подбора оптимальной конфигурации под каждый вид события;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проводного подключения специального внешнего 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Время автономной работы приемника должно быть не менее 3-x суток.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Передатчик домофона.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Передатчик домофона должен служить для передачи информации о входящем сигнале домофона на настольный (настенный)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Передатчик домофона должен иметь: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микрофон с регулятором уровня чувствительности;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кнопку включения и выключения микрофона;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тестовую кнопку.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Передатчик дверного звонка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настольный (настенный) приемник.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lastRenderedPageBreak/>
              <w:t>Передатчик должен иметь светодиодный индикатор активации дверного звонка.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Датчик сотового телефона.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Комплект поставки сигнализатора должен включать: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настольный (настенный) приемник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передатчик домофона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передатчик дверного звонка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датчик сотового телефона (смартфона)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клеммы для подключения к линии домофона;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держатели, элементы питания, зарядные устройства, необходимые для работы сигнализатора;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руководство пользователя на русском языке.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Требования к маркировке и упаковке: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товарный знак и (или) наименование предприятия- изготовителя;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номер стандарта и (или) ТУ;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порядковый номер сигнализатора;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отметку о приемке.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Сигнализаторы должны быть упакованы в индивидуальную (потребительскую) тару по ГОСТ 28594-90.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Требования к транспортной таре, упаковке и ее маркировке по ГОСТ 28594-90. 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Документы: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декларация о соответствии.</w:t>
            </w:r>
            <w:r w:rsidRPr="0037525C">
              <w:rPr>
                <w:rFonts w:ascii="Times New Roman" w:eastAsia="Lucida Sans Unicode" w:hAnsi="Times New Roman" w:cs="Times New Roman"/>
                <w:b/>
                <w:kern w:val="1"/>
                <w:lang w:eastAsia="ru-RU"/>
              </w:rPr>
              <w:t xml:space="preserve"> </w:t>
            </w:r>
          </w:p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 должен соответствовать требованиям следующих стандартов: ГОСТ Р 51632-2021 (Раздел 4), ГОСТ Р 51264-99, ГОСТ Р 70185-2022, ГОСТ Р ИСО 9999-2019, ГОСТ Р 52084-2003, ГОСТ 15150-69.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605" w:type="pct"/>
            <w:vMerge w:val="restart"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Сигнализатор звука цифровой с вибрационной индикацией</w:t>
            </w: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Сигнализатор звука цифровой с вибрационной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функциональным и техническим характеристикам: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радиус устойчивого приема сигнала в условиях прямой видимости- не менее 30 м;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- рабочая частота: 433,92 МГц </w:t>
            </w: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±</w:t>
            </w: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 0,2 %.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) приемник с вибрационной индикацией.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Карманный приемник с вибрационной световой индикацией должен служить для оповещения пользователя о наличие бытовых сигналов: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дверного звонка;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домофона;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сотового телефона (смартфона).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компактные габаритные размеры.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клипсу для крепления на пояс.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Приемник должен оповещать пользователя о произошедших бытовых событиях с помощью: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вибрационной;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световой индикации;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звуковой индикации;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 текстовом виде (за счет текста на русском языке).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Приемник должен иметь: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меню;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будильник;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- возможность записи и просмотра событий, с указанием времени произошедшего и пропущенного </w:t>
            </w:r>
            <w:r w:rsidRPr="0037525C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события и описания характера события на русском языке;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возможность одновременно 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37525C" w:rsidRPr="00A75E6A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75E6A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- регулировку уровня громкости и мелодии звуковых сигналов;</w:t>
            </w:r>
          </w:p>
          <w:p w:rsidR="0037525C" w:rsidRPr="00A75E6A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75E6A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75E6A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- возможность ситуационного включения и отключения видов индикации</w:t>
            </w:r>
            <w:bookmarkStart w:id="0" w:name="_GoBack"/>
            <w:bookmarkEnd w:id="0"/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 (световой и </w:t>
            </w:r>
            <w:proofErr w:type="gram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звуковой</w:t>
            </w:r>
            <w:proofErr w:type="gramEnd"/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 и вибрационной).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Питание приемника должно быть от аккумулятора 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или сменных элементов питания (батарей).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На приемнике должна быть индикация уровня заряда аккумулятора 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или сменных элементов питания (батарей).</w:t>
            </w:r>
          </w:p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Время автономной работы приемника должно быть не менее 3-x суток.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Передатчик домофона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Передатчик домофона должен служить для передачи информации о входящем сигнале домофона на карманный (</w:t>
            </w:r>
            <w:proofErr w:type="spellStart"/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Передатчик домофона должен иметь: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микрофон с регулятором уровня чувствительности;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кнопку включения и выключения микрофона;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тестовую кнопку.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Передатчик дверного звонка.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индикацией.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Питание передатчика должно осуществляться </w:t>
            </w: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от встроенного аккумулятора или сменных элементов питания (батарей).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Датчик сотового телефона.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Комплект поставки сигнализатора должен включать: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индикацией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передатчик домофона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lastRenderedPageBreak/>
              <w:t>- передатчик дверного звонка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датчик сотового телефона (смартфона) - 1 шт.;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клеммы для подключения к линии домофона;</w:t>
            </w:r>
          </w:p>
          <w:p w:rsidR="0037525C" w:rsidRPr="0037525C" w:rsidRDefault="0037525C" w:rsidP="0037525C">
            <w:pPr>
              <w:widowControl w:val="0"/>
              <w:suppressAutoHyphens/>
              <w:snapToGrid w:val="0"/>
              <w:spacing w:after="0" w:line="192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держатели, элементы питания, зарядные устройства, необходимые для работы сигнализатора;</w:t>
            </w:r>
          </w:p>
          <w:p w:rsidR="0037525C" w:rsidRPr="0037525C" w:rsidRDefault="0037525C" w:rsidP="0037525C">
            <w:pPr>
              <w:spacing w:after="0" w:line="192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руководство пользователя на русском языке.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маркировке и упаковке: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товарный знак и (или) наименование предприятия-изготовителя;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номер стандарта и (или) ТУ;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порядковый номер сигнализатора;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отметку о приемке.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Сигнализаторы должны быть упакованы в индивидуальную (потребительскую) тару по ГОСТ 28594-90.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транспортной таре, упаковке и ее маркировке по ГОСТ 28594-90.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Документы:</w:t>
            </w:r>
          </w:p>
          <w:p w:rsidR="0037525C" w:rsidRPr="0037525C" w:rsidRDefault="0037525C" w:rsidP="0037525C">
            <w:pPr>
              <w:widowControl w:val="0"/>
              <w:suppressAutoHyphens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декларация о соответствии.</w:t>
            </w:r>
          </w:p>
          <w:p w:rsidR="0037525C" w:rsidRPr="0037525C" w:rsidRDefault="0037525C" w:rsidP="0037525C">
            <w:pPr>
              <w:widowControl w:val="0"/>
              <w:suppressAutoHyphens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widowControl w:val="0"/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 должен соответствовать требованиям следующих стандартов: ГОСТ Р 51632-</w:t>
            </w:r>
            <w:proofErr w:type="gramStart"/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2021  (</w:t>
            </w:r>
            <w:proofErr w:type="gramEnd"/>
            <w:r w:rsidRPr="0037525C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Раздел 4), ГОСТ Р 51264-99, ГОСТ Р 70185-2022, ГОСТ Р ИСО 9999-2019, ГОСТ Р 52084-2003, ГОСТ 15150-69.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605" w:type="pct"/>
            <w:vMerge w:val="restart"/>
          </w:tcPr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ind w:left="-182" w:right="-57" w:firstLine="125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Сигнализатор звука цифровой с вибрационной и световой индикацией для людей с нарушением слуха должен быть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функциональным и техническим характеристикам: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радиус устойчивого приема сигнала в условиях прямой видимости не менее 30 м;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- рабочая частота: 433,92 МГц </w:t>
            </w:r>
            <w:r w:rsidRPr="0037525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±</w:t>
            </w:r>
            <w:r w:rsidRPr="0037525C">
              <w:rPr>
                <w:rFonts w:ascii="Times New Roman" w:eastAsia="Calibri" w:hAnsi="Times New Roman" w:cs="Times New Roman"/>
                <w:lang w:eastAsia="ru-RU"/>
              </w:rPr>
              <w:t>0,2 %.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) приемник с вибрационной и световой индикацией.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с вибрационной и световой индикацией должен служить для оповещения пользователя о наличие бытовых сигналов: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дверного звонка;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домофона;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сотового телефона (смартфона).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компактные габаритные размеры.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 должен иметь клипсу для крепления на пояс.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Приемник должен оповещать пользователя о произошедших бытовых событиях с помощью: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световой индикации;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звуковой индикации;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вибрационной индикации;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 текстовом виде (за счет текста на русском языке).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Приемник должен иметь: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меню;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будильник;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37525C" w:rsidRPr="00A75E6A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75E6A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- возможность одновременно в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75E6A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- регулировку уровня громкости и мелодии</w:t>
            </w: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 звуковых сигналов;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lastRenderedPageBreak/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Питание приемника должно быть от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На приемнике должна быть индикация уровня заряда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tabs>
                <w:tab w:val="left" w:pos="477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Время автономной работы приемника должно быть не менее 3-x суток. 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Передатчик домофона.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домофона должен служить для передачи информации о входящем сигнале домофона на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приемник. Передатчик домофона должен иметь возможность подключаться к линии домофона. Передатчик должен подключаться проводным способом к источнику сигнала (домофону) с помощью клемм. Передатчик должен иметь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домофона должен иметь: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световую индикацию для подтверждения активации устройства и передачи данных на приемник;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микрофон с регулятором уровня чувствительности;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кнопку включения и выключения микрофона;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тестовую кнопку.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Передатчик дверного звонка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служить для передачи информации о входящем сигнале дверного звонка на карманный (</w:t>
            </w:r>
            <w:proofErr w:type="spell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>напоясный</w:t>
            </w:r>
            <w:proofErr w:type="spellEnd"/>
            <w:r w:rsidRPr="0037525C">
              <w:rPr>
                <w:rFonts w:ascii="Times New Roman" w:eastAsia="Calibri" w:hAnsi="Times New Roman" w:cs="Times New Roman"/>
                <w:lang w:eastAsia="ru-RU"/>
              </w:rPr>
              <w:t>) приемник.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Передатчик дверного звонка должен быть беспроводным и иметь возможность подключения к линии дверного звонка проводным способом, заменяя стандартный дверной звонок. Должен иметь встроенную кнопку активации дверного звонка. Передатчик должен иметь светодиодный индикатор активации дверного звонка.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Питание передатчика должно осуществляться от встроенного аккумулятора или сменных элементов питания (батарей).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u w:val="single"/>
                <w:lang w:eastAsia="ru-RU"/>
              </w:rPr>
              <w:t>Датчик сотового телефона.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Датчик сотового телефона (смартфона) должен служить для передачи информации о входящем сигнале (входящий звонок, сообщение и т.д.) сотового телефона (смартфона) на карманный приемник с вибрационной и световой индикацией.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Комплект поставки сигнализатора должен включать: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карманный приемник с вибрационной и световой индикацией - 1 шт.;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передатчик домофона - 1 шт.;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передатчик дверного звонка - 1 шт.;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датчик сотового телефона (смартфона) - 1 шт.;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клеммы для подключения к линии домофона;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держатели, элементы питания, зарядные устройства, необходимые для работы сигнализатора;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- руководство пользователя на русском </w:t>
            </w:r>
            <w:proofErr w:type="gramStart"/>
            <w:r w:rsidRPr="0037525C">
              <w:rPr>
                <w:rFonts w:ascii="Times New Roman" w:eastAsia="Calibri" w:hAnsi="Times New Roman" w:cs="Times New Roman"/>
                <w:lang w:eastAsia="ru-RU"/>
              </w:rPr>
              <w:t xml:space="preserve">языке.  </w:t>
            </w:r>
            <w:proofErr w:type="gramEnd"/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259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</w:tcPr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</w:p>
        </w:tc>
        <w:tc>
          <w:tcPr>
            <w:tcW w:w="2629" w:type="pct"/>
            <w:shd w:val="clear" w:color="auto" w:fill="auto"/>
            <w:vAlign w:val="bottom"/>
          </w:tcPr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маркировке и упаковке: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товарный знак и (или) наименование предприятия- изготовителя;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номер стандарта и (или) ТУ;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порядковый номер сигнализатора;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отметку о приемке.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Сигнализаторы должны быть упакованы в индивидуальную (потребительскую) тару по ГОСТ 28594-90.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Требования к транспортной таре, упаковке и ее маркировке - по ГОСТ 28594-90.Документы:</w:t>
            </w:r>
          </w:p>
          <w:p w:rsidR="0037525C" w:rsidRPr="0037525C" w:rsidRDefault="0037525C" w:rsidP="0037525C">
            <w:pPr>
              <w:snapToGrid w:val="0"/>
              <w:spacing w:after="0" w:line="192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- декларация о соответствии.</w:t>
            </w:r>
          </w:p>
          <w:p w:rsidR="0037525C" w:rsidRPr="0037525C" w:rsidRDefault="0037525C" w:rsidP="0037525C">
            <w:pPr>
              <w:tabs>
                <w:tab w:val="left" w:pos="708"/>
              </w:tabs>
              <w:snapToGri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kern w:val="1"/>
                <w:u w:val="single"/>
                <w:lang w:eastAsia="ru-RU"/>
              </w:rPr>
            </w:pPr>
            <w:r w:rsidRPr="0037525C">
              <w:rPr>
                <w:rFonts w:ascii="Times New Roman" w:eastAsia="Calibri" w:hAnsi="Times New Roman" w:cs="Times New Roman"/>
                <w:lang w:eastAsia="ru-RU"/>
              </w:rPr>
              <w:t>Сигнализатор должен соответствовать требованиям следующих стандартов: ГОСТ Р 51632-2021 (Раздел 4), ГОСТ Р 51264-99, ГОСТ Р 70185-2022, ГОСТ Р ИСО 9999-2019, ГОСТ Р 52084-2003, ГОСТ 15150-69.</w:t>
            </w:r>
          </w:p>
        </w:tc>
        <w:tc>
          <w:tcPr>
            <w:tcW w:w="572" w:type="pct"/>
          </w:tcPr>
          <w:p w:rsidR="0037525C" w:rsidRPr="0037525C" w:rsidRDefault="0037525C" w:rsidP="0037525C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</w:t>
            </w:r>
          </w:p>
        </w:tc>
        <w:tc>
          <w:tcPr>
            <w:tcW w:w="385" w:type="pct"/>
            <w:vMerge/>
            <w:shd w:val="clear" w:color="auto" w:fill="auto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525C" w:rsidRPr="0037525C" w:rsidTr="00564F63">
        <w:tc>
          <w:tcPr>
            <w:tcW w:w="4615" w:type="pct"/>
            <w:gridSpan w:val="5"/>
          </w:tcPr>
          <w:p w:rsidR="0037525C" w:rsidRPr="0037525C" w:rsidRDefault="0037525C" w:rsidP="0037525C">
            <w:pPr>
              <w:widowControl w:val="0"/>
              <w:suppressAutoHyphens/>
              <w:snapToGrid w:val="0"/>
              <w:spacing w:before="40" w:after="40" w:line="192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ИТОГО: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7525C" w:rsidRPr="0037525C" w:rsidRDefault="0037525C" w:rsidP="0037525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525C">
              <w:rPr>
                <w:rFonts w:ascii="Times New Roman" w:eastAsia="Times New Roman" w:hAnsi="Times New Roman" w:cs="Times New Roman"/>
                <w:b/>
                <w:lang w:eastAsia="ru-RU"/>
              </w:rPr>
              <w:t>711</w:t>
            </w:r>
          </w:p>
        </w:tc>
      </w:tr>
    </w:tbl>
    <w:p w:rsidR="0037525C" w:rsidRPr="0037525C" w:rsidRDefault="0037525C" w:rsidP="0037525C">
      <w:pPr>
        <w:spacing w:after="0" w:line="192" w:lineRule="auto"/>
        <w:ind w:left="-5" w:right="-14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2E06CF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Товар должен соответствовать требованиям государственных стандартов (ГОСТ), действующих на территории </w:t>
      </w:r>
      <w:r w:rsidRPr="0037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Федерации:</w:t>
      </w:r>
    </w:p>
    <w:p w:rsidR="002E06CF" w:rsidRPr="002E06CF" w:rsidRDefault="002E06CF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51632-2021</w:t>
      </w: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06CF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средства реабилитации людей с ограничениями жизнедеятельности. Общие технические требования и методы испытаний»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E06CF" w:rsidRPr="002E06CF" w:rsidRDefault="002E06CF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51264-99</w:t>
      </w: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06CF">
        <w:rPr>
          <w:rFonts w:ascii="Times New Roman" w:hAnsi="Times New Roman" w:cs="Times New Roman"/>
          <w:bCs/>
          <w:color w:val="000000"/>
          <w:sz w:val="24"/>
          <w:szCs w:val="24"/>
        </w:rPr>
        <w:t>Средства связи, информатики и сигнализации реабилитационные электронные. Общие технические условия»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E06CF" w:rsidRPr="002E06CF" w:rsidRDefault="002E06CF" w:rsidP="002E06CF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ИСО 9999-2019</w:t>
      </w: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06CF">
        <w:rPr>
          <w:rFonts w:ascii="Times New Roman" w:hAnsi="Times New Roman" w:cs="Times New Roman"/>
          <w:bCs/>
          <w:color w:val="000000"/>
          <w:sz w:val="24"/>
          <w:szCs w:val="24"/>
        </w:rPr>
        <w:t>Вспомогательные средства для людей с ограничениями жизнедеятельности. Классификация и терминология»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E06CF" w:rsidRPr="002E06CF" w:rsidRDefault="002E06CF" w:rsidP="002E06CF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E06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ГОСТ 15150-69 «</w:t>
      </w:r>
      <w:r w:rsidRPr="002E0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</w:t>
      </w:r>
    </w:p>
    <w:p w:rsidR="002E06CF" w:rsidRPr="002E06CF" w:rsidRDefault="002E06CF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2E06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 28594-90 «</w:t>
      </w:r>
      <w:r w:rsidRPr="002E06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Аппаратура радиоэлектронная бытовая. Упаковка, маркировка, транспортирование и хранение»,</w:t>
      </w:r>
    </w:p>
    <w:p w:rsidR="0037525C" w:rsidRPr="002E06CF" w:rsidRDefault="002E06CF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70185-2022</w:t>
      </w:r>
      <w:r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E06CF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средства реабилитации. Сигнализаторы звука световые и вибрационные. Общие технические условия»</w:t>
      </w:r>
      <w:r w:rsidR="0037525C" w:rsidRPr="002E0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Товар должен быть новым. Товар должен быть свободным от прав третьих лиц.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Гарантийный срок Товара должен составлять не менее 24 месяцев с даты подписания Поставщиком и Получателем Акта сдачи-приемки Товара. Установленный настоящим пунктом Технического задания, срок не распространяется на случаи нарушения Получателем условий и требований к эксплуатации Товара.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Обеспечить возможность выдачи Товара в пункте приема Получателей со дня, следующего за днем поступления Товара в субъект в соответствии с календарным планом. В день, следующий за днем поступления Товара в субъект в соответствии с календарным планом, на пункте (пунктах) приема Получателей (далее – пункт (пункты) приема Получателей) должно находиться не менее 100% Товара.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Получателей по вопросам, касающимся выдачи и гарантийного ремонта Товара, осуществляется Поставщиком по месту нахождения, организованных Поставщиком пункта (пунктов) приема Получателей.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в срок не позднее 1 (одного) рабочего дня с даты заключения государственного контракта.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osp@ro78.fss.ru, tsrfil31@ro78.fss.ru.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случае привлечения к исполнению контракта соисполнителя в срок </w:t>
      </w:r>
      <w:r w:rsidR="007B3E33"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с даты заключения государственного контракта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предоставить Заказчику данные о соисполнителе: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наименование, фирменное наименование (при наличии), место нахождения, почтовый адрес (для юридического лица);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 (при наличии), паспортные данные, место жительства (для физического лица);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контактного телефона;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электронной почты;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операций, выполняемых соисполнителем в рамках контракта;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</w:t>
      </w:r>
      <w:proofErr w:type="spellStart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соисполнительства</w:t>
      </w:r>
      <w:proofErr w:type="spellEnd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 даты заключения договора между Поставщиком и соисполнителем.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 даты расторжения такого договора.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osp@ro78.fss.ru. 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 поставки.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передает Получателям Товар следующими способами: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стационарных пунктах выдачи, организованных на территории Санкт-Петербурга или Ленинградской области в соответствии с приказом Министерства труда и социальной защиты Российской Федерации от 30 июля 2015 №527н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Также Заказчик предоставляет право Поставщику организовать дополнительный пункт (пункты) выдачи на территории Ленинградской области. При организации нескольких пунктов приема Получателей на территории Санкт-Петербурга и Ленинградской области, они должны быть расположены в разных районах.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Получателю осуществляется в день обращения Получателя в пункт(-ы) приема Получателей с направлением. На отрывном талоне направления Поставщик в обязательном порядке проставляет дату обращения Получателя.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6 (шести) дней в неделю, не менее 40 (сорока) часов в неделю, при этом, время работы должно быть в интервале с 08:00 час. до 22:00 час.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Санкт-Петербурга и Ленинградской области, не менее чем с 10:00 час. до 21:00 час. не менее 6 (шести) дней в неделю, по предварительной записи по телефону, предоставленному Заказчику в срок не позднее 1 (одного) рабочего дня с даты заключения государственного контракта. Доставка осуществляется за счет средств Поставщика.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Получателей требованиям Технического задания. При проведении проверки Заказчик вправе осуществлять </w:t>
      </w:r>
      <w:proofErr w:type="spellStart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фотофиксацию</w:t>
      </w:r>
      <w:proofErr w:type="spellEnd"/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видеозапись.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5" w:history="1">
        <w:r w:rsidRPr="0037525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osp@ro78.fss.ru</w:t>
        </w:r>
      </w:hyperlink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25C" w:rsidRPr="0037525C" w:rsidRDefault="0037525C" w:rsidP="0037525C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7525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экспертизы Товара на соответствие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304BB6" w:rsidRDefault="00A75E6A"/>
    <w:sectPr w:rsidR="00304BB6">
      <w:footnotePr>
        <w:numFmt w:val="chicago"/>
      </w:footnotePr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F31881"/>
    <w:multiLevelType w:val="hybridMultilevel"/>
    <w:tmpl w:val="A63CBE90"/>
    <w:lvl w:ilvl="0" w:tplc="3920E8D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8FA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29C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55D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C294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6338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428C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624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CB3B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5C"/>
    <w:rsid w:val="001E55C1"/>
    <w:rsid w:val="002E06CF"/>
    <w:rsid w:val="0037525C"/>
    <w:rsid w:val="007B24DD"/>
    <w:rsid w:val="007B3E33"/>
    <w:rsid w:val="008E0768"/>
    <w:rsid w:val="009D3160"/>
    <w:rsid w:val="00A75E6A"/>
    <w:rsid w:val="00AD4CB4"/>
    <w:rsid w:val="00E3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AF9E4-CA59-4159-B42B-C562B68B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@ro78.f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4395</Words>
  <Characters>25057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Александровна</dc:creator>
  <cp:keywords/>
  <dc:description/>
  <cp:lastModifiedBy>Михайлова Ирина Александровна</cp:lastModifiedBy>
  <cp:revision>4</cp:revision>
  <dcterms:created xsi:type="dcterms:W3CDTF">2024-09-10T08:12:00Z</dcterms:created>
  <dcterms:modified xsi:type="dcterms:W3CDTF">2024-09-10T09:17:00Z</dcterms:modified>
</cp:coreProperties>
</file>