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5B" w:rsidRPr="0089478C" w:rsidRDefault="007A5A2B" w:rsidP="00423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423D5B" w:rsidRPr="002A404F" w:rsidRDefault="00307EDE" w:rsidP="00D874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="00423D5B" w:rsidRPr="00D874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="006427AD">
        <w:rPr>
          <w:rFonts w:ascii="Times New Roman" w:eastAsia="Times New Roman" w:hAnsi="Times New Roman" w:cs="Times New Roman"/>
          <w:bCs/>
          <w:color w:val="000000"/>
          <w:lang w:eastAsia="ru-RU"/>
        </w:rPr>
        <w:t>В</w:t>
      </w:r>
      <w:r w:rsidR="006427AD" w:rsidRPr="006427AD">
        <w:rPr>
          <w:rFonts w:ascii="Times New Roman" w:eastAsia="Times New Roman" w:hAnsi="Times New Roman" w:cs="Times New Roman"/>
          <w:bCs/>
          <w:color w:val="000000"/>
          <w:lang w:eastAsia="ru-RU"/>
        </w:rPr>
        <w:t>ыполнени</w:t>
      </w:r>
      <w:r w:rsidR="006427AD">
        <w:rPr>
          <w:rFonts w:ascii="Times New Roman" w:eastAsia="Times New Roman" w:hAnsi="Times New Roman" w:cs="Times New Roman"/>
          <w:bCs/>
          <w:color w:val="000000"/>
          <w:lang w:eastAsia="ru-RU"/>
        </w:rPr>
        <w:t>е</w:t>
      </w:r>
      <w:r w:rsidR="006427AD" w:rsidRPr="006427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работ по изготовлению технических средств реабилитации - аппаратов ортопедических в 2025 году в пользу граждан в целях их социального обеспечения</w:t>
      </w:r>
    </w:p>
    <w:p w:rsidR="00423D5B" w:rsidRPr="00D874CF" w:rsidRDefault="00307EDE" w:rsidP="00D874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423D5B" w:rsidRPr="00D874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423D5B" w:rsidRDefault="00423D5B" w:rsidP="00423D5B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Таблица №1</w:t>
      </w:r>
    </w:p>
    <w:tbl>
      <w:tblPr>
        <w:tblW w:w="10583" w:type="dxa"/>
        <w:tblInd w:w="-97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1760"/>
        <w:gridCol w:w="1462"/>
        <w:gridCol w:w="4010"/>
        <w:gridCol w:w="1524"/>
        <w:gridCol w:w="1139"/>
      </w:tblGrid>
      <w:tr w:rsidR="0032668C" w:rsidRPr="0032668C" w:rsidTr="007838C8">
        <w:trPr>
          <w:trHeight w:val="1206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/>
                <w:iCs/>
                <w:sz w:val="21"/>
                <w:szCs w:val="21"/>
                <w:lang w:eastAsia="ar-SA"/>
              </w:rPr>
              <w:t> </w:t>
            </w: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№ </w:t>
            </w: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п</w:t>
            </w:r>
            <w:proofErr w:type="gram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/п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 Наименование Изделия (Приказ Минтруда России от 13.02.2018 г. № 86н)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Наименование Изделия по КТРУ.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КОЗ*</w:t>
            </w:r>
          </w:p>
        </w:tc>
        <w:tc>
          <w:tcPr>
            <w:tcW w:w="4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Характеристики Изделия (неизменяемые)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32668C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32668C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Гарантийный срок, мес.</w:t>
            </w:r>
          </w:p>
        </w:tc>
      </w:tr>
      <w:tr w:rsidR="0032668C" w:rsidRPr="0032668C" w:rsidTr="0032668C">
        <w:trPr>
          <w:trHeight w:val="174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4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32668C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32668C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6</w:t>
            </w:r>
          </w:p>
        </w:tc>
      </w:tr>
      <w:tr w:rsidR="0032668C" w:rsidRPr="0032668C" w:rsidTr="007838C8">
        <w:trPr>
          <w:trHeight w:val="165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Аппарат на голеностопный сустав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КТРУ: 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не применяется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: 32.50.22.129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КОЗ:03.28.08.09.37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Комплектующие: гильза голени, башмачок, внутренняя полость гильзы выклеена подкладкой, шины с голеностопными шарнирами, с возможностью ограничения движения, полукольца. 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Изготовление по слепку и по индивидуальным обмерам. 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Тип изделия: постоянный.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гильзы голени - кожа или литьевой слоистый пластик на основе акриловых смол или листовой термопластичный пластик (по медицинским показаниям)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башмачка - кожа или литьевой слоистый пластик на основе акриловых смол или листовой термопластичный пластик (по медицинским показаниям)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Материал внутренней вклейки - кожа или вспененный </w:t>
            </w:r>
            <w:proofErr w:type="spell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пенополиэтилен</w:t>
            </w:r>
            <w:proofErr w:type="spell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(по медицинским показаниям)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шин и полуколец - нержавеющая сталь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7</w:t>
            </w:r>
          </w:p>
        </w:tc>
      </w:tr>
      <w:tr w:rsidR="0032668C" w:rsidRPr="0032668C" w:rsidTr="007838C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Аппарат на голеностопный и коленный суставы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КТРУ: 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не применяется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: 32.50.22.129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КОЗ:03.28.08.09.38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Аппарат должен состоять из гильз бедра и голени и башмачка. </w:t>
            </w: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Предназначен</w:t>
            </w:r>
            <w:proofErr w:type="gram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для реабилитации опорно-двигательных функций нижних конечностей у больных с различными по тяжести и распространенности вялыми спастическими параличами мышц нижней конечности.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Аппарат должен обеспечивать опороспособность пораженной нижней конечности с одновременным удержанием ее сегментов в заданном положении, подвижность в суставах, необходимую для ходьбы и при сидении, а также при соответствующих медицинских показаниях, частичную разгрузку сегментов нижней конечности.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Аппарат может быть с замковым или </w:t>
            </w:r>
            <w:proofErr w:type="spell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беззамковым</w:t>
            </w:r>
            <w:proofErr w:type="spell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коленным шарниром (по медицинскими показаниям), правого и левого исполнения.</w:t>
            </w:r>
            <w:proofErr w:type="gramEnd"/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Изготовление по слепку и по индивидуальным обмерам. Тип изделия: постоянный.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lastRenderedPageBreak/>
              <w:t>Материал гильз -  листовой термопластичный пластик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Материал внутренней вклейки - вспененный </w:t>
            </w:r>
            <w:proofErr w:type="spell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пенополиэтилен</w:t>
            </w:r>
            <w:proofErr w:type="spellEnd"/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шин, голеностопных и коленных шарниров - нержавеющая сталь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стельки – металл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lastRenderedPageBreak/>
              <w:t>Штука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7</w:t>
            </w:r>
          </w:p>
        </w:tc>
      </w:tr>
      <w:tr w:rsidR="0032668C" w:rsidRPr="0032668C" w:rsidTr="007838C8">
        <w:trPr>
          <w:trHeight w:val="2442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lastRenderedPageBreak/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Аппарат на коленный сустав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КТРУ: 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не применяется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: 32.50.22.129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КОЗ:03.28.08.09.39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Комплектующие гильзы  бедра и голени,  внутренняя полость гильз выклеена подкладкой, шины с коленными шарнирами, с замком или без замка (по медицинским показаниям); полукольца.  Изготовление по слепку и по индивидуальным обмерам. Тип изделия: постоянный.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гильз кожа или литьевой слоистый пластик на основе акриловых смол или листовой термопластичный пластик (по медицинским показаниям)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внутренней вклейки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кожа или </w:t>
            </w: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вспененный</w:t>
            </w:r>
            <w:proofErr w:type="gram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</w:t>
            </w:r>
            <w:proofErr w:type="spell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пенополиэтилен</w:t>
            </w:r>
            <w:proofErr w:type="spell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(по медицинским показаниям)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шин и полуколец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нержавеющая сталь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7</w:t>
            </w:r>
          </w:p>
        </w:tc>
      </w:tr>
      <w:tr w:rsidR="0032668C" w:rsidRPr="0032668C" w:rsidTr="007838C8">
        <w:trPr>
          <w:trHeight w:val="99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Аппарат на всю ногу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КТРУ: 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не применяется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: 32.50.22.129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КОЗ:03.28.08.09.42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Комплектующие: башмачок, гильзы бедра и голени, внутренняя полость гильз выклеена подкладкой, стелька, шины, полукольца, голеностопные и коленные шарниры, с замком или без замка (по медицинским показаниям), по медицинским показаниям допускается использование металлического </w:t>
            </w:r>
            <w:proofErr w:type="spell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вертлуга</w:t>
            </w:r>
            <w:proofErr w:type="spell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. Изготовление по слепку и по индивидуальным обмерам. Тип изделия: постоянный.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гильз кожа или литьевой слоистый пластик на основе акриловых смол или листовой термопластичный пластик (по медицинским показаниям)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внутренней вклейки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кожа или </w:t>
            </w: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вспененный</w:t>
            </w:r>
            <w:proofErr w:type="gram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</w:t>
            </w:r>
            <w:proofErr w:type="spell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пенополиэтилен</w:t>
            </w:r>
            <w:proofErr w:type="spell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(по медицинским показаниям)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шин, полуколец, голеностопных и коленных шарниров, полуколец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нержавеющая сталь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стельки – металл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7</w:t>
            </w:r>
          </w:p>
        </w:tc>
      </w:tr>
      <w:tr w:rsidR="0032668C" w:rsidRPr="0032668C" w:rsidTr="007838C8">
        <w:trPr>
          <w:trHeight w:val="55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Аппарат на всю ногу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КТРУ: 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не применяется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: 32.50.22.129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КОЗ:03.28.08.09.42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Аппарат на всю ногу облегченный с улучшенными характеристиками, фиксирующий, разгружающий. Комплектующие: гильза несущая, голеностопные и коленные шарниры с замком или без замка (по медицинским показаниям). Изготовление по слепку и по индивидуальным обмерам.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Тип изделия: постоянный.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гильзы - литьевой слоистый пластик на основе акриловых смол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голеностопных и коленных шарниров – металл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7</w:t>
            </w:r>
          </w:p>
        </w:tc>
      </w:tr>
      <w:tr w:rsidR="0032668C" w:rsidRPr="0032668C" w:rsidTr="007838C8">
        <w:trPr>
          <w:trHeight w:val="99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lastRenderedPageBreak/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Аппарат на всю ногу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КТРУ: 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не применяется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: 32.50.22.129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КОЗ:03.28.08.09.42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Аппарат на всю ногу облегченный с улучшенными характеристиками, фиксирующий, разгружающий. Комплектующие: гильза несущая, голеностопные и коленные шарниры с замком или без замка (по медицинским показаниям). Изготовление по слепку и по индивидуальным обмерам. Тип изделия: постоянный.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Материал гильз </w:t>
            </w: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-у</w:t>
            </w:r>
            <w:proofErr w:type="gram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глепластик со смягчающими вспененными материалами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голеностопных и коленных шарниров – металл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7</w:t>
            </w:r>
          </w:p>
        </w:tc>
      </w:tr>
      <w:tr w:rsidR="0032668C" w:rsidRPr="0032668C" w:rsidTr="007838C8">
        <w:trPr>
          <w:trHeight w:val="55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Аппарат на нижние конечности и туловище (</w:t>
            </w:r>
            <w:proofErr w:type="spell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ортез</w:t>
            </w:r>
            <w:proofErr w:type="spell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КТРУ: 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не применяется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: 32.50.22.129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КОЗ:03.28.08.09.43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 xml:space="preserve">Аппарат на нижние конечности и туловище предназначен для </w:t>
            </w:r>
            <w:proofErr w:type="spell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>ортезирования</w:t>
            </w:r>
            <w:proofErr w:type="spell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 xml:space="preserve"> Получателей с нарушением функций опорно</w:t>
            </w: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softHyphen/>
              <w:t>-двигательного аппарата различной тяжести.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 xml:space="preserve">Аппарат на нижние конечности и туловище должен состоять из двух аппаратов (правый и левый) на всю нижнюю конечность, изготовленные по индивидуальным слепкам, которые соединяются с </w:t>
            </w:r>
            <w:proofErr w:type="spell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>полукорсетом</w:t>
            </w:r>
            <w:proofErr w:type="spell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 xml:space="preserve"> с помощью тазобедренных шарниров. Крепление аппаратов и </w:t>
            </w:r>
            <w:proofErr w:type="spell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>полукорсета</w:t>
            </w:r>
            <w:proofErr w:type="spell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 xml:space="preserve"> должно осуществляться при помощи контактных застёжек по типу «контакт».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Изготовление по слепку и по индивидуальным обмерам. Тип изделия: постоянный.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гильз -  листовой термопластичный пластик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Материал внутренней вклейки вспененный </w:t>
            </w:r>
            <w:proofErr w:type="spell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пенополиэтилен</w:t>
            </w:r>
            <w:proofErr w:type="spellEnd"/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шин, тазобедренных, голеностопных и коленных шарниров - нержавеющая сталь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стельки – металл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7</w:t>
            </w:r>
          </w:p>
        </w:tc>
      </w:tr>
      <w:tr w:rsidR="0032668C" w:rsidRPr="0032668C" w:rsidTr="007838C8">
        <w:trPr>
          <w:trHeight w:val="55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Аппарат на тазобедренный сустав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2668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КТРУ: </w:t>
            </w:r>
          </w:p>
          <w:p w:rsidR="0032668C" w:rsidRPr="0032668C" w:rsidRDefault="0032668C" w:rsidP="0032668C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2668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не применяется</w:t>
            </w:r>
          </w:p>
          <w:p w:rsidR="0032668C" w:rsidRPr="0032668C" w:rsidRDefault="0032668C" w:rsidP="0032668C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2668C" w:rsidRPr="0032668C" w:rsidRDefault="0032668C" w:rsidP="0032668C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32668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ОКПД</w:t>
            </w:r>
            <w:proofErr w:type="gramStart"/>
            <w:r w:rsidRPr="0032668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  <w:proofErr w:type="gramEnd"/>
            <w:r w:rsidRPr="0032668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: </w:t>
            </w:r>
            <w:r w:rsidRPr="003266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32.50.22.129</w:t>
            </w:r>
          </w:p>
          <w:p w:rsidR="0032668C" w:rsidRPr="0032668C" w:rsidRDefault="0032668C" w:rsidP="0032668C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</w:p>
          <w:p w:rsidR="0032668C" w:rsidRPr="0032668C" w:rsidRDefault="0032668C" w:rsidP="0032668C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3266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i-IN" w:bidi="hi-IN"/>
              </w:rPr>
              <w:t>КОЗ:03.28.08.09.40</w:t>
            </w:r>
          </w:p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 xml:space="preserve">Аппарат изготавливается методом вакуумной формовки по индивидуальному гипсовому слепку из термопластичных материалов и представлять собой </w:t>
            </w: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>конструкцию</w:t>
            </w:r>
            <w:proofErr w:type="gram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 xml:space="preserve"> состоящую из двух гильз. Гильзы бедра и тазобедренного сустава  соединяются  между собой посредством  шин с  одноосевыми или полицентрическими шарнирами с  замком или без. Для более прочной фиксации конечности </w:t>
            </w:r>
            <w:proofErr w:type="spell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>ортез</w:t>
            </w:r>
            <w:proofErr w:type="spell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 xml:space="preserve"> может быть </w:t>
            </w: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>снабжен</w:t>
            </w:r>
            <w:proofErr w:type="gram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 xml:space="preserve"> крышками, расположенными по передней поверхности бедра, внутренняя поверхность гильз может быть отделана мягкими вставками (в зависимости от индивидуальных особенностей пациента). Крепление аппарата должно осуществляться с помощью застежек из контактной ленты. </w:t>
            </w:r>
            <w:proofErr w:type="gramStart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>Показан</w:t>
            </w:r>
            <w:proofErr w:type="gramEnd"/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t xml:space="preserve"> после переломов и операций в области костей таза и тазобедренного сустава, при </w:t>
            </w: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 w:bidi="ru-RU"/>
              </w:rPr>
              <w:lastRenderedPageBreak/>
              <w:t>асептическом некрозе головки бедренной кости, артрозе тазобедренного сустава. Аппарат обеспечивает наружную фиксацию костей таза и  тазобедренного сустава с дозированной амплитудой движений в сагиттальной плоскости, при необходимости – для этапной разработки контрактур тазобедренного сустава.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lastRenderedPageBreak/>
              <w:t>Штука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C" w:rsidRPr="0032668C" w:rsidRDefault="0032668C" w:rsidP="0032668C">
            <w:pPr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32668C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7</w:t>
            </w:r>
          </w:p>
        </w:tc>
      </w:tr>
    </w:tbl>
    <w:p w:rsidR="00307EDE" w:rsidRDefault="00307EDE" w:rsidP="00307EDE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>*Примечание: КОЗ – классификатор объекта закупки подсистемы Заказчика «Управление государственными закупками».</w:t>
      </w:r>
    </w:p>
    <w:p w:rsidR="00307EDE" w:rsidRDefault="00307EDE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 xml:space="preserve">Аппараты ортопедические соответствуют требованиям ГОСТ </w:t>
      </w:r>
      <w:proofErr w:type="gramStart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Р</w:t>
      </w:r>
      <w:proofErr w:type="gramEnd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Р</w:t>
      </w:r>
      <w:proofErr w:type="gramEnd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 xml:space="preserve"> 52770-2023 «Изделия медицинские. Система оценки биологического действия. Общие требования безопасности», ГОСТ </w:t>
      </w:r>
      <w:proofErr w:type="gramStart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Р</w:t>
      </w:r>
      <w:proofErr w:type="gramEnd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 xml:space="preserve"> ИСО 22523-2007 «Протезы конечностей и </w:t>
      </w:r>
      <w:proofErr w:type="spellStart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ортезы</w:t>
      </w:r>
      <w:proofErr w:type="spellEnd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 xml:space="preserve"> наружные. Требования и методы испытаний».</w:t>
      </w: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 xml:space="preserve">Выполнение работ по </w:t>
      </w:r>
      <w:proofErr w:type="spellStart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ортезированию</w:t>
      </w:r>
      <w:proofErr w:type="spellEnd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 xml:space="preserve"> направлено на изготовление технических устройств, к которым относятся аппараты ортопедические, 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сумочно</w:t>
      </w:r>
      <w:proofErr w:type="spellEnd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 xml:space="preserve">-связочного или мышечно-связочного аппарата и других функций организма. Выполняемые работы включает комплекс технических и социальных мероприятий, проводимых с Получателями,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восстановление, и компенсацию утраченных функций организма. </w:t>
      </w: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 xml:space="preserve">Выполнение работ по </w:t>
      </w:r>
      <w:proofErr w:type="spellStart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ортезированию</w:t>
      </w:r>
      <w:proofErr w:type="spellEnd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 xml:space="preserve"> соответствует назначениям </w:t>
      </w:r>
      <w:proofErr w:type="gramStart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медико-социальной</w:t>
      </w:r>
      <w:proofErr w:type="gramEnd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 xml:space="preserve"> экспертизы. При носке технического средства реабилитации Получатели не испытывают болей, избыточного давления, обуславливающих нарушения кровообращения.</w:t>
      </w: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Проведение работ по обеспечению аппаратами ортопедическими осуществляется при наличии действующих деклараций или сертификатов о соответствии на техническое средство реабилитации.</w:t>
      </w: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 xml:space="preserve">Работы по обеспечению аппаратами ортопедическими считаются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</w:t>
      </w: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В состав работ по изготовлению и обеспечению техническими средствами реабилитации – аппаратами ортопедическими (далее – ТСР) входят:</w:t>
      </w: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- изготовление ТСР по индивидуальным обмерам;</w:t>
      </w: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- примерка и подгонка ТСР (при необходимости);</w:t>
      </w: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- обучение Получателей пользованию ТСР, уходу за ним и его хранения;</w:t>
      </w: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- выдача ТСР Получателям;</w:t>
      </w: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 xml:space="preserve">- обеспечение Получателей гарантийным талоном на выданное ТСР и </w:t>
      </w:r>
      <w:proofErr w:type="gramStart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информировании</w:t>
      </w:r>
      <w:proofErr w:type="gramEnd"/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 xml:space="preserve"> об условиях проведения гарантийного обслуживания;</w:t>
      </w: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Требование к упаковке:</w:t>
      </w: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>Упаковка аппаратов ортопедических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1E0EA5" w:rsidRPr="001E0EA5" w:rsidRDefault="00EC6EC8" w:rsidP="001E0EA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sz w:val="21"/>
          <w:szCs w:val="21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iCs/>
          <w:sz w:val="21"/>
          <w:szCs w:val="21"/>
          <w:lang w:eastAsia="ar-SA"/>
        </w:rPr>
        <w:t xml:space="preserve">3. </w:t>
      </w:r>
      <w:r w:rsidR="001E0EA5" w:rsidRPr="001E0EA5">
        <w:rPr>
          <w:rFonts w:ascii="Times New Roman" w:eastAsia="Lucida Sans Unicode" w:hAnsi="Times New Roman" w:cs="Times New Roman"/>
          <w:b/>
          <w:bCs/>
          <w:iCs/>
          <w:sz w:val="21"/>
          <w:szCs w:val="21"/>
          <w:lang w:eastAsia="ar-SA"/>
        </w:rPr>
        <w:t>Требования к гарантийным обязательствам:</w:t>
      </w: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 xml:space="preserve">- к гарантии качества товара, работы, услуги: </w:t>
      </w:r>
    </w:p>
    <w:p w:rsidR="002A404F" w:rsidRPr="002A404F" w:rsidRDefault="002A404F" w:rsidP="002A404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A404F">
        <w:rPr>
          <w:rFonts w:ascii="Times New Roman" w:hAnsi="Times New Roman" w:cs="Times New Roman"/>
        </w:rPr>
        <w:t>Исполнитель гарантирует, что Изделия свободны от прав третьих лиц, являются новыми (не были ранее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свойства), не имеют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Pr="002A404F">
        <w:rPr>
          <w:rFonts w:ascii="Times New Roman" w:hAnsi="Times New Roman" w:cs="Times New Roman"/>
        </w:rPr>
        <w:t xml:space="preserve"> Изделий в обычных условиях. На Изделиях не должно быть механических повреждений.</w:t>
      </w: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04F">
        <w:rPr>
          <w:rFonts w:ascii="Times New Roman" w:hAnsi="Times New Roman" w:cs="Times New Roman"/>
        </w:rPr>
        <w:t>Исполнитель гарантирует, что поставляемые Изделия соответствуют стандартам на данные виды Изделий, а также требованиям Описания объекта закупки.</w:t>
      </w:r>
    </w:p>
    <w:p w:rsidR="002A404F" w:rsidRPr="002A404F" w:rsidRDefault="002A404F" w:rsidP="002A404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04F">
        <w:rPr>
          <w:rFonts w:ascii="Times New Roman" w:hAnsi="Times New Roman" w:cs="Times New Roman"/>
        </w:rPr>
        <w:t xml:space="preserve">Исполнитель гарантирует, что Изделия соответствуют требованиям санитарно-эпидемиологической безопасности. Материалы, применяемые для изготовления Изделий, не содержат ядовитых (токсичных) компонентов и разрешены к применению Министерством </w:t>
      </w:r>
      <w:r w:rsidRPr="002A404F">
        <w:rPr>
          <w:rFonts w:ascii="Times New Roman" w:hAnsi="Times New Roman" w:cs="Times New Roman"/>
        </w:rPr>
        <w:lastRenderedPageBreak/>
        <w:t>здравоохранения и социального развития Российской Федерации, а также не воздействуют на цвет поверхности (одежды, кожи пользователя), с которым контактирует изделие при его нормальной эксплуатации.</w:t>
      </w:r>
    </w:p>
    <w:p w:rsidR="002A404F" w:rsidRPr="002A404F" w:rsidRDefault="002A404F" w:rsidP="002A404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04F">
        <w:rPr>
          <w:rFonts w:ascii="Times New Roman" w:hAnsi="Times New Roman" w:cs="Times New Roman"/>
        </w:rPr>
        <w:t xml:space="preserve">При передаче Изделия Получателю Исполнитель предоставляет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A404F">
        <w:rPr>
          <w:rFonts w:ascii="Times New Roman" w:eastAsia="Lucida Sans Unicode" w:hAnsi="Times New Roman" w:cs="Times New Roman"/>
          <w:bCs/>
          <w:iCs/>
          <w:lang w:eastAsia="ar-SA"/>
        </w:rPr>
        <w:t xml:space="preserve">- требования к гарантийному сроку и (или) объему предоставления гарантий их качества:                                      </w:t>
      </w:r>
    </w:p>
    <w:p w:rsidR="002A404F" w:rsidRPr="002A404F" w:rsidRDefault="002A404F" w:rsidP="002A404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04F">
        <w:rPr>
          <w:rFonts w:ascii="Times New Roman" w:hAnsi="Times New Roman" w:cs="Times New Roman"/>
        </w:rPr>
        <w:t>Исполнитель устанавливает на Изделия гарантийный срок</w:t>
      </w:r>
      <w:r w:rsidRPr="002A404F">
        <w:rPr>
          <w:rFonts w:ascii="Times New Roman" w:hAnsi="Times New Roman" w:cs="Times New Roman"/>
          <w:bCs/>
        </w:rPr>
        <w:t>, равный указанному в таблице № 1,</w:t>
      </w:r>
      <w:r w:rsidRPr="002A404F">
        <w:rPr>
          <w:rFonts w:ascii="Times New Roman" w:hAnsi="Times New Roman" w:cs="Times New Roman"/>
        </w:rPr>
        <w:t xml:space="preserve"> с момента передачи его Получателю. Гарантийный срок не распространяется на случаи нарушения Получателем условий и требований к эксплуатации Изделия. </w:t>
      </w:r>
    </w:p>
    <w:p w:rsidR="002A404F" w:rsidRPr="002A404F" w:rsidRDefault="002A404F" w:rsidP="002A404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A404F">
        <w:rPr>
          <w:rFonts w:ascii="Times New Roman" w:hAnsi="Times New Roman" w:cs="Times New Roman"/>
        </w:rPr>
        <w:t xml:space="preserve"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  <w:proofErr w:type="gramEnd"/>
    </w:p>
    <w:p w:rsidR="002A404F" w:rsidRPr="002A404F" w:rsidRDefault="002A404F" w:rsidP="002A404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04F">
        <w:rPr>
          <w:rFonts w:ascii="Times New Roman" w:hAnsi="Times New Roman" w:cs="Times New Roman"/>
        </w:rPr>
        <w:t>Срок выполнения гарантийного ремонта или осуществления замены Изделия не должен превышать 15 рабочих дней со дня обращения Получателя.</w:t>
      </w:r>
    </w:p>
    <w:p w:rsidR="002A404F" w:rsidRPr="002A404F" w:rsidRDefault="002A404F" w:rsidP="002A40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04F">
        <w:rPr>
          <w:rFonts w:ascii="Times New Roman" w:hAnsi="Times New Roman" w:cs="Times New Roman"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данного Изделия Исполнителем.</w:t>
      </w:r>
    </w:p>
    <w:p w:rsidR="002A404F" w:rsidRPr="002A404F" w:rsidRDefault="002A404F" w:rsidP="002A404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04F">
        <w:rPr>
          <w:rFonts w:ascii="Times New Roman" w:hAnsi="Times New Roman" w:cs="Times New Roman"/>
        </w:rP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A34984" w:rsidRPr="001E0EA5" w:rsidRDefault="00A34984" w:rsidP="000836EF">
      <w:pPr>
        <w:spacing w:beforeLines="20" w:before="48" w:afterLines="20" w:after="48"/>
        <w:jc w:val="both"/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hi-IN" w:bidi="hi-IN"/>
        </w:rPr>
      </w:pPr>
    </w:p>
    <w:p w:rsidR="00A34984" w:rsidRPr="000836EF" w:rsidRDefault="00A34984" w:rsidP="00D874C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A34984" w:rsidRPr="000836EF" w:rsidSect="00A34984">
      <w:footerReference w:type="default" r:id="rId7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C8" w:rsidRDefault="00F723C8">
      <w:pPr>
        <w:spacing w:after="0" w:line="240" w:lineRule="auto"/>
      </w:pPr>
      <w:r>
        <w:separator/>
      </w:r>
    </w:p>
  </w:endnote>
  <w:endnote w:type="continuationSeparator" w:id="0">
    <w:p w:rsidR="00F723C8" w:rsidRDefault="00F7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726DD" w:rsidRDefault="00423D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901">
          <w:rPr>
            <w:noProof/>
          </w:rPr>
          <w:t>5</w:t>
        </w:r>
        <w:r>
          <w:fldChar w:fldCharType="end"/>
        </w:r>
      </w:p>
    </w:sdtContent>
  </w:sdt>
  <w:p w:rsidR="00E726DD" w:rsidRDefault="00F723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C8" w:rsidRDefault="00F723C8">
      <w:pPr>
        <w:spacing w:after="0" w:line="240" w:lineRule="auto"/>
      </w:pPr>
      <w:r>
        <w:separator/>
      </w:r>
    </w:p>
  </w:footnote>
  <w:footnote w:type="continuationSeparator" w:id="0">
    <w:p w:rsidR="00F723C8" w:rsidRDefault="00F72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5B"/>
    <w:rsid w:val="000836EF"/>
    <w:rsid w:val="000E6835"/>
    <w:rsid w:val="001E0EA5"/>
    <w:rsid w:val="002660A0"/>
    <w:rsid w:val="002A404F"/>
    <w:rsid w:val="00307EDE"/>
    <w:rsid w:val="0032668C"/>
    <w:rsid w:val="003A5121"/>
    <w:rsid w:val="003F3D9C"/>
    <w:rsid w:val="00413A73"/>
    <w:rsid w:val="00423D5B"/>
    <w:rsid w:val="004A2252"/>
    <w:rsid w:val="004C4F36"/>
    <w:rsid w:val="00536311"/>
    <w:rsid w:val="00626FB4"/>
    <w:rsid w:val="006427AD"/>
    <w:rsid w:val="006C71D8"/>
    <w:rsid w:val="00753901"/>
    <w:rsid w:val="0077609A"/>
    <w:rsid w:val="007A5A2B"/>
    <w:rsid w:val="008052C1"/>
    <w:rsid w:val="0088695E"/>
    <w:rsid w:val="009E4416"/>
    <w:rsid w:val="00A34984"/>
    <w:rsid w:val="00B65B7F"/>
    <w:rsid w:val="00C61511"/>
    <w:rsid w:val="00CF1B8E"/>
    <w:rsid w:val="00D874CF"/>
    <w:rsid w:val="00E81813"/>
    <w:rsid w:val="00EC6EC8"/>
    <w:rsid w:val="00F7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3D5B"/>
  </w:style>
  <w:style w:type="paragraph" w:styleId="a5">
    <w:name w:val="Balloon Text"/>
    <w:basedOn w:val="a"/>
    <w:link w:val="a6"/>
    <w:uiPriority w:val="99"/>
    <w:semiHidden/>
    <w:unhideWhenUsed/>
    <w:rsid w:val="0088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3D5B"/>
  </w:style>
  <w:style w:type="paragraph" w:styleId="a5">
    <w:name w:val="Balloon Text"/>
    <w:basedOn w:val="a"/>
    <w:link w:val="a6"/>
    <w:uiPriority w:val="99"/>
    <w:semiHidden/>
    <w:unhideWhenUsed/>
    <w:rsid w:val="0088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Горбанева Елена Викторовна</cp:lastModifiedBy>
  <cp:revision>3</cp:revision>
  <cp:lastPrinted>2024-09-19T10:49:00Z</cp:lastPrinted>
  <dcterms:created xsi:type="dcterms:W3CDTF">2024-12-09T13:27:00Z</dcterms:created>
  <dcterms:modified xsi:type="dcterms:W3CDTF">2024-12-09T13:28:00Z</dcterms:modified>
</cp:coreProperties>
</file>