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76" w:rsidRPr="007070CE" w:rsidRDefault="004F5076" w:rsidP="004F5076">
      <w:pPr>
        <w:pStyle w:val="31"/>
        <w:keepLines/>
        <w:pageBreakBefore/>
        <w:ind w:firstLine="0"/>
        <w:jc w:val="right"/>
        <w:rPr>
          <w:szCs w:val="24"/>
        </w:rPr>
      </w:pPr>
      <w:r w:rsidRPr="007070CE">
        <w:rPr>
          <w:szCs w:val="24"/>
        </w:rPr>
        <w:t>Приложение № 1</w:t>
      </w:r>
    </w:p>
    <w:p w:rsidR="00B61587" w:rsidRPr="00572940" w:rsidRDefault="00B61587" w:rsidP="00B61587">
      <w:pPr>
        <w:pStyle w:val="31"/>
        <w:keepLines/>
        <w:ind w:firstLine="0"/>
        <w:jc w:val="right"/>
        <w:rPr>
          <w:szCs w:val="24"/>
        </w:rPr>
      </w:pPr>
      <w:r w:rsidRPr="00572940">
        <w:rPr>
          <w:szCs w:val="24"/>
        </w:rPr>
        <w:t xml:space="preserve">к извещению о проведении открытого </w:t>
      </w:r>
    </w:p>
    <w:p w:rsidR="00B61587" w:rsidRPr="00572940" w:rsidRDefault="00B61587" w:rsidP="00B61587">
      <w:pPr>
        <w:pStyle w:val="31"/>
        <w:keepLines/>
        <w:ind w:firstLine="0"/>
        <w:jc w:val="right"/>
        <w:rPr>
          <w:szCs w:val="24"/>
        </w:rPr>
      </w:pPr>
      <w:r w:rsidRPr="00572940">
        <w:rPr>
          <w:szCs w:val="24"/>
        </w:rPr>
        <w:t>аукциона в электронной форме</w:t>
      </w:r>
    </w:p>
    <w:p w:rsidR="0087591F" w:rsidRDefault="0087591F" w:rsidP="0087591F">
      <w:pPr>
        <w:spacing w:before="240" w:after="60"/>
        <w:jc w:val="center"/>
        <w:outlineLvl w:val="4"/>
        <w:rPr>
          <w:b/>
          <w:bCs/>
          <w:iCs/>
        </w:rPr>
      </w:pPr>
      <w:r w:rsidRPr="00851580">
        <w:rPr>
          <w:b/>
          <w:bCs/>
          <w:iCs/>
        </w:rPr>
        <w:t>Техническое задание</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0"/>
        <w:gridCol w:w="2551"/>
        <w:gridCol w:w="6804"/>
      </w:tblGrid>
      <w:tr w:rsidR="0087591F" w:rsidRPr="00B646B1" w:rsidTr="009D38D9">
        <w:trPr>
          <w:trHeight w:val="769"/>
        </w:trPr>
        <w:tc>
          <w:tcPr>
            <w:tcW w:w="710" w:type="dxa"/>
            <w:vAlign w:val="center"/>
          </w:tcPr>
          <w:p w:rsidR="0087591F" w:rsidRPr="00B646B1" w:rsidRDefault="0087591F" w:rsidP="009D38D9">
            <w:pPr>
              <w:widowControl w:val="0"/>
              <w:autoSpaceDE w:val="0"/>
              <w:jc w:val="center"/>
              <w:rPr>
                <w:rFonts w:eastAsia="Arial Unicode MS"/>
                <w:sz w:val="20"/>
                <w:szCs w:val="20"/>
              </w:rPr>
            </w:pPr>
            <w:r w:rsidRPr="00B646B1">
              <w:rPr>
                <w:rFonts w:eastAsia="Arial Unicode MS"/>
                <w:sz w:val="20"/>
                <w:szCs w:val="20"/>
              </w:rPr>
              <w:t xml:space="preserve">№ </w:t>
            </w:r>
          </w:p>
        </w:tc>
        <w:tc>
          <w:tcPr>
            <w:tcW w:w="2551" w:type="dxa"/>
            <w:vAlign w:val="center"/>
          </w:tcPr>
          <w:p w:rsidR="0087591F" w:rsidRPr="00B646B1" w:rsidRDefault="0087591F" w:rsidP="009D38D9">
            <w:pPr>
              <w:widowControl w:val="0"/>
              <w:autoSpaceDE w:val="0"/>
              <w:jc w:val="center"/>
              <w:rPr>
                <w:sz w:val="20"/>
                <w:szCs w:val="20"/>
              </w:rPr>
            </w:pPr>
            <w:r w:rsidRPr="00B646B1">
              <w:rPr>
                <w:sz w:val="20"/>
                <w:szCs w:val="20"/>
              </w:rPr>
              <w:t>* Наименование</w:t>
            </w:r>
          </w:p>
          <w:p w:rsidR="0087591F" w:rsidRPr="00B646B1" w:rsidRDefault="0087591F" w:rsidP="009D38D9">
            <w:pPr>
              <w:widowControl w:val="0"/>
              <w:autoSpaceDE w:val="0"/>
              <w:jc w:val="center"/>
              <w:rPr>
                <w:sz w:val="20"/>
                <w:szCs w:val="20"/>
              </w:rPr>
            </w:pPr>
            <w:r w:rsidRPr="00B646B1">
              <w:rPr>
                <w:sz w:val="20"/>
                <w:szCs w:val="20"/>
              </w:rPr>
              <w:t>изделия</w:t>
            </w:r>
          </w:p>
        </w:tc>
        <w:tc>
          <w:tcPr>
            <w:tcW w:w="6804" w:type="dxa"/>
            <w:vAlign w:val="center"/>
          </w:tcPr>
          <w:p w:rsidR="0087591F" w:rsidRPr="00B646B1" w:rsidRDefault="0087591F" w:rsidP="009D38D9">
            <w:pPr>
              <w:widowControl w:val="0"/>
              <w:autoSpaceDE w:val="0"/>
              <w:jc w:val="center"/>
              <w:rPr>
                <w:sz w:val="20"/>
                <w:szCs w:val="20"/>
              </w:rPr>
            </w:pPr>
            <w:r w:rsidRPr="00B646B1">
              <w:rPr>
                <w:sz w:val="20"/>
                <w:szCs w:val="20"/>
              </w:rPr>
              <w:t>Описание функциональных и технических характеристик</w:t>
            </w:r>
          </w:p>
        </w:tc>
      </w:tr>
      <w:tr w:rsidR="0087591F" w:rsidRPr="00B646B1" w:rsidTr="009D38D9">
        <w:trPr>
          <w:trHeight w:val="769"/>
        </w:trPr>
        <w:tc>
          <w:tcPr>
            <w:tcW w:w="710" w:type="dxa"/>
          </w:tcPr>
          <w:p w:rsidR="0087591F" w:rsidRPr="00B646B1" w:rsidRDefault="0087591F" w:rsidP="009D38D9">
            <w:pPr>
              <w:widowControl w:val="0"/>
              <w:tabs>
                <w:tab w:val="left" w:pos="708"/>
              </w:tabs>
              <w:autoSpaceDE w:val="0"/>
              <w:snapToGrid w:val="0"/>
              <w:jc w:val="center"/>
              <w:rPr>
                <w:sz w:val="20"/>
                <w:szCs w:val="20"/>
              </w:rPr>
            </w:pPr>
          </w:p>
          <w:p w:rsidR="0087591F" w:rsidRPr="00B646B1" w:rsidRDefault="0087591F" w:rsidP="009D38D9">
            <w:pPr>
              <w:widowControl w:val="0"/>
              <w:tabs>
                <w:tab w:val="left" w:pos="708"/>
              </w:tabs>
              <w:autoSpaceDE w:val="0"/>
              <w:snapToGrid w:val="0"/>
              <w:jc w:val="center"/>
              <w:rPr>
                <w:sz w:val="20"/>
                <w:szCs w:val="20"/>
              </w:rPr>
            </w:pPr>
            <w:r w:rsidRPr="00B646B1">
              <w:rPr>
                <w:sz w:val="20"/>
                <w:szCs w:val="20"/>
              </w:rPr>
              <w:t>1</w:t>
            </w:r>
          </w:p>
        </w:tc>
        <w:tc>
          <w:tcPr>
            <w:tcW w:w="2551" w:type="dxa"/>
          </w:tcPr>
          <w:p w:rsidR="0087591F" w:rsidRPr="00B646B1" w:rsidRDefault="0087591F" w:rsidP="009D38D9">
            <w:pPr>
              <w:widowControl w:val="0"/>
              <w:autoSpaceDE w:val="0"/>
              <w:jc w:val="center"/>
              <w:rPr>
                <w:i/>
                <w:sz w:val="20"/>
                <w:szCs w:val="20"/>
              </w:rPr>
            </w:pPr>
          </w:p>
          <w:p w:rsidR="0087591F" w:rsidRPr="00B646B1" w:rsidRDefault="0087591F" w:rsidP="009D38D9">
            <w:pPr>
              <w:widowControl w:val="0"/>
              <w:autoSpaceDE w:val="0"/>
              <w:rPr>
                <w:sz w:val="20"/>
                <w:szCs w:val="20"/>
              </w:rPr>
            </w:pPr>
            <w:r w:rsidRPr="00B646B1">
              <w:rPr>
                <w:sz w:val="20"/>
                <w:szCs w:val="20"/>
              </w:rPr>
              <w:t xml:space="preserve">10-01-01 </w:t>
            </w:r>
            <w:r w:rsidRPr="00B646B1">
              <w:rPr>
                <w:bCs/>
                <w:sz w:val="20"/>
                <w:szCs w:val="20"/>
              </w:rPr>
              <w:t>Противопролежневый матрац полиуретановый</w:t>
            </w:r>
          </w:p>
          <w:p w:rsidR="0087591F" w:rsidRPr="00B646B1" w:rsidRDefault="0087591F" w:rsidP="009D38D9">
            <w:pPr>
              <w:rPr>
                <w:bCs/>
                <w:sz w:val="20"/>
                <w:szCs w:val="20"/>
              </w:rPr>
            </w:pPr>
          </w:p>
          <w:p w:rsidR="0087591F" w:rsidRPr="00B646B1" w:rsidRDefault="0087591F" w:rsidP="009D38D9">
            <w:pPr>
              <w:widowControl w:val="0"/>
              <w:autoSpaceDE w:val="0"/>
              <w:jc w:val="center"/>
              <w:rPr>
                <w:i/>
                <w:sz w:val="20"/>
                <w:szCs w:val="20"/>
              </w:rPr>
            </w:pPr>
          </w:p>
          <w:p w:rsidR="0087591F" w:rsidRPr="00B646B1" w:rsidRDefault="0087591F" w:rsidP="009D38D9">
            <w:pPr>
              <w:widowControl w:val="0"/>
              <w:autoSpaceDE w:val="0"/>
              <w:rPr>
                <w:sz w:val="20"/>
                <w:szCs w:val="20"/>
              </w:rPr>
            </w:pPr>
            <w:r w:rsidRPr="00B646B1">
              <w:rPr>
                <w:sz w:val="20"/>
                <w:szCs w:val="20"/>
              </w:rPr>
              <w:t xml:space="preserve">22.19.71.190-00000006 Матрас противопролежневый с наполнителем из пеноматериала </w:t>
            </w:r>
          </w:p>
        </w:tc>
        <w:tc>
          <w:tcPr>
            <w:tcW w:w="6804" w:type="dxa"/>
            <w:vAlign w:val="center"/>
          </w:tcPr>
          <w:p w:rsidR="0087591F" w:rsidRPr="00B646B1" w:rsidRDefault="0087591F" w:rsidP="009D38D9">
            <w:pPr>
              <w:ind w:firstLine="317"/>
              <w:jc w:val="both"/>
              <w:rPr>
                <w:sz w:val="20"/>
                <w:szCs w:val="20"/>
              </w:rPr>
            </w:pPr>
            <w:r w:rsidRPr="00B646B1">
              <w:rPr>
                <w:sz w:val="20"/>
                <w:szCs w:val="20"/>
              </w:rPr>
              <w:t xml:space="preserve">Противопролежневые матрацы предназначены для профилактики возникновения пролежней, развития мацерации кожи, инфицирования кожи и подлежащих тканей при длительном нахождении инвалида в положении лежа, для удобства, отдыха и комфорта. </w:t>
            </w:r>
          </w:p>
          <w:p w:rsidR="0087591F" w:rsidRPr="00B646B1" w:rsidRDefault="0087591F" w:rsidP="009D38D9">
            <w:pPr>
              <w:ind w:firstLine="317"/>
              <w:jc w:val="both"/>
              <w:rPr>
                <w:sz w:val="20"/>
                <w:szCs w:val="20"/>
              </w:rPr>
            </w:pPr>
            <w:r w:rsidRPr="00B646B1">
              <w:rPr>
                <w:sz w:val="20"/>
                <w:szCs w:val="20"/>
              </w:rPr>
              <w:t>Матрац должен состоять из полиуретана с эффектом запоминания формы, должен быть цельным или в виде отдельных элементов, все элементы должны быть цельнолитыми, не имеющими вклееных элементов.  Допустимая максимальная нагрузка на изделие не менее 120 кг. Матрац должен комплектоваться съемным чехлом, который упрощает санобработку. Каждое изделия должно быть уложено в индивидуальную упаковку.</w:t>
            </w:r>
          </w:p>
          <w:p w:rsidR="0087591F" w:rsidRPr="00B646B1" w:rsidRDefault="0087591F" w:rsidP="009D38D9">
            <w:pPr>
              <w:ind w:firstLine="317"/>
              <w:jc w:val="both"/>
              <w:rPr>
                <w:sz w:val="20"/>
                <w:szCs w:val="20"/>
              </w:rPr>
            </w:pPr>
            <w:r w:rsidRPr="00B646B1">
              <w:rPr>
                <w:sz w:val="20"/>
                <w:szCs w:val="20"/>
              </w:rPr>
              <w:t>Габаритные размеры матраца следующие:</w:t>
            </w:r>
          </w:p>
          <w:p w:rsidR="0087591F" w:rsidRPr="00B646B1" w:rsidRDefault="0087591F" w:rsidP="009D38D9">
            <w:pPr>
              <w:ind w:firstLine="317"/>
              <w:jc w:val="both"/>
              <w:rPr>
                <w:sz w:val="20"/>
                <w:szCs w:val="20"/>
              </w:rPr>
            </w:pPr>
            <w:r w:rsidRPr="00B646B1">
              <w:rPr>
                <w:sz w:val="20"/>
                <w:szCs w:val="20"/>
              </w:rPr>
              <w:t xml:space="preserve">длина изделия не менее 1950 мм </w:t>
            </w:r>
          </w:p>
          <w:p w:rsidR="0087591F" w:rsidRPr="00B646B1" w:rsidRDefault="0087591F" w:rsidP="009D38D9">
            <w:pPr>
              <w:ind w:firstLine="317"/>
              <w:jc w:val="both"/>
              <w:rPr>
                <w:sz w:val="20"/>
                <w:szCs w:val="20"/>
              </w:rPr>
            </w:pPr>
            <w:r w:rsidRPr="00B646B1">
              <w:rPr>
                <w:sz w:val="20"/>
                <w:szCs w:val="20"/>
              </w:rPr>
              <w:t xml:space="preserve">ширина не менее 850 мм </w:t>
            </w:r>
          </w:p>
          <w:p w:rsidR="0087591F" w:rsidRPr="00B646B1" w:rsidRDefault="0087591F" w:rsidP="009D38D9">
            <w:pPr>
              <w:ind w:firstLine="317"/>
              <w:jc w:val="both"/>
              <w:rPr>
                <w:sz w:val="20"/>
                <w:szCs w:val="20"/>
              </w:rPr>
            </w:pPr>
            <w:r w:rsidRPr="00B646B1">
              <w:rPr>
                <w:sz w:val="20"/>
                <w:szCs w:val="20"/>
              </w:rPr>
              <w:t xml:space="preserve">высота матраца не менее 70 мм   </w:t>
            </w:r>
          </w:p>
          <w:p w:rsidR="0087591F" w:rsidRPr="00B646B1" w:rsidRDefault="0087591F" w:rsidP="009D38D9">
            <w:pPr>
              <w:widowControl w:val="0"/>
              <w:autoSpaceDE w:val="0"/>
              <w:ind w:left="141"/>
              <w:rPr>
                <w:sz w:val="20"/>
                <w:szCs w:val="20"/>
              </w:rPr>
            </w:pPr>
            <w:r w:rsidRPr="00B646B1">
              <w:rPr>
                <w:sz w:val="20"/>
                <w:szCs w:val="20"/>
              </w:rPr>
              <w:t xml:space="preserve">   Предусмотрено наличие паспорта изделия, гарантийного талона, регистрационного удостоверения, декларации о соответствии.</w:t>
            </w:r>
          </w:p>
        </w:tc>
      </w:tr>
      <w:tr w:rsidR="0087591F" w:rsidRPr="00B646B1" w:rsidTr="009D38D9">
        <w:trPr>
          <w:trHeight w:val="769"/>
        </w:trPr>
        <w:tc>
          <w:tcPr>
            <w:tcW w:w="710" w:type="dxa"/>
          </w:tcPr>
          <w:p w:rsidR="0087591F" w:rsidRPr="00B646B1" w:rsidRDefault="0087591F" w:rsidP="009D38D9">
            <w:pPr>
              <w:widowControl w:val="0"/>
              <w:tabs>
                <w:tab w:val="left" w:pos="708"/>
              </w:tabs>
              <w:autoSpaceDE w:val="0"/>
              <w:snapToGrid w:val="0"/>
              <w:jc w:val="center"/>
              <w:rPr>
                <w:sz w:val="20"/>
                <w:szCs w:val="20"/>
              </w:rPr>
            </w:pPr>
            <w:r w:rsidRPr="00B646B1">
              <w:rPr>
                <w:sz w:val="20"/>
                <w:szCs w:val="20"/>
              </w:rPr>
              <w:t>2</w:t>
            </w:r>
          </w:p>
        </w:tc>
        <w:tc>
          <w:tcPr>
            <w:tcW w:w="2551" w:type="dxa"/>
          </w:tcPr>
          <w:p w:rsidR="0087591F" w:rsidRPr="00B646B1" w:rsidRDefault="0087591F" w:rsidP="009D38D9">
            <w:pPr>
              <w:widowControl w:val="0"/>
              <w:autoSpaceDE w:val="0"/>
              <w:rPr>
                <w:sz w:val="20"/>
                <w:szCs w:val="20"/>
              </w:rPr>
            </w:pPr>
            <w:r w:rsidRPr="00B646B1">
              <w:rPr>
                <w:sz w:val="20"/>
                <w:szCs w:val="20"/>
              </w:rPr>
              <w:t xml:space="preserve">10-01-02 </w:t>
            </w:r>
            <w:r w:rsidRPr="00B646B1">
              <w:rPr>
                <w:bCs/>
                <w:sz w:val="20"/>
                <w:szCs w:val="20"/>
              </w:rPr>
              <w:t xml:space="preserve">Противопролежневый матрац гелевый  </w:t>
            </w:r>
          </w:p>
          <w:p w:rsidR="0087591F" w:rsidRPr="00B646B1" w:rsidRDefault="0087591F" w:rsidP="009D38D9">
            <w:pPr>
              <w:rPr>
                <w:bCs/>
                <w:sz w:val="20"/>
                <w:szCs w:val="20"/>
              </w:rPr>
            </w:pPr>
          </w:p>
          <w:p w:rsidR="0087591F" w:rsidRPr="00B646B1" w:rsidRDefault="0087591F" w:rsidP="009D38D9">
            <w:pPr>
              <w:rPr>
                <w:sz w:val="20"/>
                <w:szCs w:val="20"/>
              </w:rPr>
            </w:pPr>
            <w:r w:rsidRPr="00B646B1">
              <w:rPr>
                <w:sz w:val="20"/>
                <w:szCs w:val="20"/>
              </w:rPr>
              <w:t xml:space="preserve">22.19.71.190-00000005 Матрас противопролежневый с гелевым наполнителем </w:t>
            </w:r>
          </w:p>
          <w:p w:rsidR="0087591F" w:rsidRPr="00B646B1" w:rsidRDefault="0087591F" w:rsidP="009D38D9">
            <w:pPr>
              <w:widowControl w:val="0"/>
              <w:autoSpaceDE w:val="0"/>
              <w:rPr>
                <w:i/>
                <w:sz w:val="20"/>
                <w:szCs w:val="20"/>
              </w:rPr>
            </w:pPr>
          </w:p>
        </w:tc>
        <w:tc>
          <w:tcPr>
            <w:tcW w:w="6804" w:type="dxa"/>
            <w:vAlign w:val="center"/>
          </w:tcPr>
          <w:p w:rsidR="0087591F" w:rsidRPr="00B646B1" w:rsidRDefault="0087591F" w:rsidP="009D38D9">
            <w:pPr>
              <w:ind w:firstLine="317"/>
              <w:jc w:val="both"/>
              <w:rPr>
                <w:sz w:val="20"/>
                <w:szCs w:val="20"/>
              </w:rPr>
            </w:pPr>
            <w:r w:rsidRPr="00B646B1">
              <w:rPr>
                <w:sz w:val="20"/>
                <w:szCs w:val="20"/>
              </w:rPr>
              <w:t>Противопролежневые матрацы предназначены для профилактики возникновения пролежней, развития мацерации кожи, инфицирования кожи и подлежащих тканей при длительном нахождении инвалида в положении лежа, для удобства, отдыха и комфорта.</w:t>
            </w:r>
          </w:p>
          <w:p w:rsidR="0087591F" w:rsidRPr="00B646B1" w:rsidRDefault="0087591F" w:rsidP="009D38D9">
            <w:pPr>
              <w:ind w:firstLine="317"/>
              <w:jc w:val="both"/>
              <w:rPr>
                <w:sz w:val="20"/>
                <w:szCs w:val="20"/>
              </w:rPr>
            </w:pPr>
            <w:r w:rsidRPr="00B646B1">
              <w:rPr>
                <w:sz w:val="20"/>
                <w:szCs w:val="20"/>
              </w:rPr>
              <w:t xml:space="preserve"> Противопролежневый эффект достигается путем равномерного распределения давления на участки тела за счет специальных элементов, заполненных текучим гелевым составом, находящимся в толще элемента матраца, для исключения эффекта переохлаждения.                                     Матрац должен состоять из полиуретана, либо натурального латекса, либо натурального латекса и полиуретана. Должен комплектоваться специальным чехлом, который упрощает санобработку. Допустимая максимальная нагрузка на изделие не менее 120 кг. Каждое изделия должно быть уложено в индивидуальную упаковку.</w:t>
            </w:r>
          </w:p>
          <w:p w:rsidR="0087591F" w:rsidRPr="00B646B1" w:rsidRDefault="0087591F" w:rsidP="009D38D9">
            <w:pPr>
              <w:ind w:firstLine="317"/>
              <w:jc w:val="both"/>
              <w:rPr>
                <w:sz w:val="20"/>
                <w:szCs w:val="20"/>
              </w:rPr>
            </w:pPr>
            <w:r w:rsidRPr="00B646B1">
              <w:rPr>
                <w:sz w:val="20"/>
                <w:szCs w:val="20"/>
              </w:rPr>
              <w:t>Габаритные размеры матраца следующие:</w:t>
            </w:r>
          </w:p>
          <w:p w:rsidR="0087591F" w:rsidRPr="00B646B1" w:rsidRDefault="0087591F" w:rsidP="009D38D9">
            <w:pPr>
              <w:ind w:firstLine="317"/>
              <w:jc w:val="both"/>
              <w:rPr>
                <w:sz w:val="20"/>
                <w:szCs w:val="20"/>
              </w:rPr>
            </w:pPr>
            <w:r w:rsidRPr="00B646B1">
              <w:rPr>
                <w:sz w:val="20"/>
                <w:szCs w:val="20"/>
              </w:rPr>
              <w:t xml:space="preserve">длина изделия не менее 2000 мм </w:t>
            </w:r>
          </w:p>
          <w:p w:rsidR="0087591F" w:rsidRPr="00B646B1" w:rsidRDefault="0087591F" w:rsidP="009D38D9">
            <w:pPr>
              <w:ind w:firstLine="317"/>
              <w:jc w:val="both"/>
              <w:rPr>
                <w:sz w:val="20"/>
                <w:szCs w:val="20"/>
              </w:rPr>
            </w:pPr>
            <w:r w:rsidRPr="00B646B1">
              <w:rPr>
                <w:sz w:val="20"/>
                <w:szCs w:val="20"/>
              </w:rPr>
              <w:t xml:space="preserve">ширина не менее 850 мм </w:t>
            </w:r>
          </w:p>
          <w:p w:rsidR="0087591F" w:rsidRPr="00B646B1" w:rsidRDefault="0087591F" w:rsidP="009D38D9">
            <w:pPr>
              <w:ind w:firstLine="317"/>
              <w:jc w:val="both"/>
              <w:rPr>
                <w:sz w:val="20"/>
                <w:szCs w:val="20"/>
              </w:rPr>
            </w:pPr>
            <w:r w:rsidRPr="00B646B1">
              <w:rPr>
                <w:sz w:val="20"/>
                <w:szCs w:val="20"/>
              </w:rPr>
              <w:t>высота матраца не менее 70 мм.</w:t>
            </w:r>
          </w:p>
          <w:p w:rsidR="0087591F" w:rsidRPr="00B646B1" w:rsidRDefault="0087591F" w:rsidP="009D38D9">
            <w:pPr>
              <w:ind w:firstLine="317"/>
              <w:jc w:val="both"/>
              <w:rPr>
                <w:sz w:val="20"/>
                <w:szCs w:val="20"/>
              </w:rPr>
            </w:pPr>
            <w:r w:rsidRPr="00B646B1">
              <w:rPr>
                <w:sz w:val="20"/>
                <w:szCs w:val="20"/>
              </w:rPr>
              <w:t>Предусмотрено наличие паспорта изделия, гарантийного талона, регистрационного удостоверения, декларации о соответствии.</w:t>
            </w:r>
          </w:p>
        </w:tc>
      </w:tr>
    </w:tbl>
    <w:p w:rsidR="0087591F" w:rsidRPr="002F4FB1" w:rsidRDefault="0087591F" w:rsidP="0087591F">
      <w:pPr>
        <w:widowControl w:val="0"/>
        <w:shd w:val="clear" w:color="auto" w:fill="FFFFFF"/>
        <w:autoSpaceDE w:val="0"/>
        <w:jc w:val="both"/>
        <w:rPr>
          <w:sz w:val="18"/>
          <w:szCs w:val="18"/>
        </w:rPr>
      </w:pPr>
      <w:r w:rsidRPr="002F4FB1">
        <w:rPr>
          <w:sz w:val="18"/>
          <w:szCs w:val="18"/>
        </w:rPr>
        <w:t>* Наименование технического средства реабилитации указано в соответствии с Приказом Министерства труда и социальной защиты Российской Федерации от 13.02.2018 № 86н.</w:t>
      </w:r>
    </w:p>
    <w:p w:rsidR="0087591F" w:rsidRPr="003E224A" w:rsidRDefault="0087591F" w:rsidP="0087591F">
      <w:pPr>
        <w:widowControl w:val="0"/>
        <w:autoSpaceDE w:val="0"/>
        <w:ind w:firstLine="420"/>
        <w:jc w:val="both"/>
      </w:pPr>
      <w:r w:rsidRPr="003E224A">
        <w:t xml:space="preserve">Срок предоставления гарантии качества составляет не менее </w:t>
      </w:r>
      <w:r>
        <w:rPr>
          <w:b/>
          <w:bCs/>
        </w:rPr>
        <w:t>12</w:t>
      </w:r>
      <w:r w:rsidRPr="003E224A">
        <w:rPr>
          <w:b/>
          <w:bCs/>
        </w:rPr>
        <w:t xml:space="preserve"> месяцев</w:t>
      </w:r>
      <w:r w:rsidRPr="003E224A">
        <w:t xml:space="preserve">. Срок гарантийного ремонта со дня обращения </w:t>
      </w:r>
      <w:r>
        <w:t>получателя</w:t>
      </w:r>
      <w:r w:rsidRPr="003E224A">
        <w:t xml:space="preserve"> не превышает </w:t>
      </w:r>
      <w:r w:rsidRPr="003E224A">
        <w:rPr>
          <w:b/>
          <w:bCs/>
        </w:rPr>
        <w:t>30 рабочих дней</w:t>
      </w:r>
      <w:r w:rsidRPr="003E224A">
        <w:t>.</w:t>
      </w:r>
    </w:p>
    <w:p w:rsidR="0087591F" w:rsidRPr="003E224A" w:rsidRDefault="0087591F" w:rsidP="0087591F">
      <w:pPr>
        <w:jc w:val="both"/>
      </w:pPr>
      <w:r w:rsidRPr="003E224A">
        <w:t xml:space="preserve">       Обязательно указание адресов специализированных мастерских на территории Красноярского края, в которые </w:t>
      </w:r>
      <w:r>
        <w:t>получатели</w:t>
      </w:r>
      <w:r w:rsidRPr="003E224A">
        <w:t xml:space="preserve"> смогут обращаться для гарантийного и пост- гарантийного ремонта изделий, а также для устранения возможных неисправностей в течение срока эксплуатации ТСР. </w:t>
      </w:r>
    </w:p>
    <w:p w:rsidR="0087591F" w:rsidRPr="003E224A" w:rsidRDefault="0087591F" w:rsidP="0087591F">
      <w:pPr>
        <w:jc w:val="both"/>
      </w:pPr>
      <w:r w:rsidRPr="003E224A">
        <w:t xml:space="preserve">        Изделия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87591F" w:rsidRPr="003E224A" w:rsidRDefault="0087591F" w:rsidP="0087591F">
      <w:pPr>
        <w:widowControl w:val="0"/>
        <w:autoSpaceDE w:val="0"/>
        <w:jc w:val="both"/>
      </w:pPr>
      <w:r w:rsidRPr="003E224A">
        <w:t xml:space="preserve">        Поставщик предоставляет Товар непосредственно Получателю по домашнему адресу или в пункте выдачи Поставщика (при необходи</w:t>
      </w:r>
      <w:r>
        <w:t>мости) в срок, не превышающий 25</w:t>
      </w:r>
      <w:r w:rsidRPr="003E224A">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w:t>
      </w:r>
      <w:r w:rsidRPr="003E224A">
        <w:lastRenderedPageBreak/>
        <w:t>Поставщиком реестра Получателей товара. Реестры направляются Поставщику в течение действия государственного контракта по мере поступления заявок. Срок поставки Товара по последнему переданному реестру</w:t>
      </w:r>
      <w:r>
        <w:t xml:space="preserve"> – не позднее «31»</w:t>
      </w:r>
      <w:r w:rsidRPr="003E224A">
        <w:t xml:space="preserve"> </w:t>
      </w:r>
      <w:r>
        <w:t>октября</w:t>
      </w:r>
      <w:r w:rsidRPr="003E224A">
        <w:t xml:space="preserve"> 202</w:t>
      </w:r>
      <w:r>
        <w:t>5</w:t>
      </w:r>
      <w:r w:rsidRPr="003E224A">
        <w:t xml:space="preserve"> года.</w:t>
      </w:r>
    </w:p>
    <w:p w:rsidR="0087591F" w:rsidRPr="003E224A" w:rsidRDefault="0087591F" w:rsidP="0087591F">
      <w:pPr>
        <w:widowControl w:val="0"/>
        <w:autoSpaceDE w:val="0"/>
        <w:jc w:val="both"/>
        <w:rPr>
          <w:color w:val="000000"/>
        </w:rPr>
      </w:pPr>
      <w:r w:rsidRPr="003E224A">
        <w:rPr>
          <w:color w:val="000000"/>
        </w:rPr>
        <w:t xml:space="preserve">        Не позднее чем через </w:t>
      </w:r>
      <w:r>
        <w:rPr>
          <w:color w:val="000000"/>
        </w:rPr>
        <w:t>1</w:t>
      </w:r>
      <w:r w:rsidRPr="003E224A">
        <w:rPr>
          <w:color w:val="000000"/>
        </w:rPr>
        <w:t>5 (пятн</w:t>
      </w:r>
      <w:r>
        <w:rPr>
          <w:color w:val="000000"/>
        </w:rPr>
        <w:t>адцать</w:t>
      </w:r>
      <w:r w:rsidRPr="003E224A">
        <w:rPr>
          <w:color w:val="000000"/>
        </w:rPr>
        <w:t xml:space="preserve">) календарных дней после заключения контракта поставщик обязан представить заказчику изделия, подлежащие поставке, на проверку качества и соответствия техническим характеристикам, указанным в техническом задании. </w:t>
      </w:r>
    </w:p>
    <w:p w:rsidR="0087591F" w:rsidRDefault="0087591F" w:rsidP="0087591F">
      <w:pPr>
        <w:spacing w:line="240" w:lineRule="atLeast"/>
        <w:ind w:right="-306"/>
        <w:rPr>
          <w:color w:val="000000"/>
          <w:sz w:val="22"/>
          <w:szCs w:val="22"/>
        </w:rPr>
      </w:pPr>
    </w:p>
    <w:p w:rsidR="004F5076" w:rsidRPr="007070CE" w:rsidRDefault="004F5076" w:rsidP="0087591F">
      <w:pPr>
        <w:spacing w:before="240" w:after="60"/>
        <w:jc w:val="center"/>
        <w:outlineLvl w:val="4"/>
        <w:rPr>
          <w:sz w:val="20"/>
          <w:szCs w:val="20"/>
        </w:rPr>
      </w:pPr>
    </w:p>
    <w:sectPr w:rsidR="004F5076" w:rsidRPr="007070CE" w:rsidSect="00E6411D">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521" w:rsidRDefault="00083521" w:rsidP="007320DB">
      <w:r>
        <w:separator/>
      </w:r>
    </w:p>
  </w:endnote>
  <w:endnote w:type="continuationSeparator" w:id="1">
    <w:p w:rsidR="00083521" w:rsidRDefault="00083521" w:rsidP="007320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2" w:rsidRDefault="00B137B7">
    <w:pPr>
      <w:pStyle w:val="a3"/>
      <w:framePr w:wrap="around" w:vAnchor="text" w:hAnchor="margin" w:xAlign="right" w:y="1"/>
      <w:rPr>
        <w:rStyle w:val="a5"/>
      </w:rPr>
    </w:pPr>
    <w:r>
      <w:rPr>
        <w:rStyle w:val="a5"/>
      </w:rPr>
      <w:fldChar w:fldCharType="begin"/>
    </w:r>
    <w:r w:rsidR="004F5076">
      <w:rPr>
        <w:rStyle w:val="a5"/>
      </w:rPr>
      <w:instrText xml:space="preserve">PAGE  </w:instrText>
    </w:r>
    <w:r>
      <w:rPr>
        <w:rStyle w:val="a5"/>
      </w:rPr>
      <w:fldChar w:fldCharType="end"/>
    </w:r>
  </w:p>
  <w:p w:rsidR="007429E2" w:rsidRDefault="0008352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2" w:rsidRDefault="000835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521" w:rsidRDefault="00083521" w:rsidP="007320DB">
      <w:r>
        <w:separator/>
      </w:r>
    </w:p>
  </w:footnote>
  <w:footnote w:type="continuationSeparator" w:id="1">
    <w:p w:rsidR="00083521" w:rsidRDefault="00083521" w:rsidP="00732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5076"/>
    <w:rsid w:val="0006510B"/>
    <w:rsid w:val="00083521"/>
    <w:rsid w:val="004013C2"/>
    <w:rsid w:val="004509D6"/>
    <w:rsid w:val="004C1108"/>
    <w:rsid w:val="004F5076"/>
    <w:rsid w:val="007320DB"/>
    <w:rsid w:val="0087591F"/>
    <w:rsid w:val="008A0AF9"/>
    <w:rsid w:val="00B137B7"/>
    <w:rsid w:val="00B61587"/>
    <w:rsid w:val="00BB53B4"/>
    <w:rsid w:val="00BC4DD3"/>
    <w:rsid w:val="00CB194C"/>
    <w:rsid w:val="00E6411D"/>
    <w:rsid w:val="00EE62B4"/>
    <w:rsid w:val="00F43046"/>
    <w:rsid w:val="00F70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76"/>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4F5076"/>
    <w:pPr>
      <w:keepNext/>
      <w:ind w:firstLine="710"/>
      <w:jc w:val="both"/>
    </w:pPr>
    <w:rPr>
      <w:szCs w:val="28"/>
    </w:rPr>
  </w:style>
  <w:style w:type="paragraph" w:styleId="a3">
    <w:name w:val="footer"/>
    <w:basedOn w:val="a"/>
    <w:link w:val="a4"/>
    <w:uiPriority w:val="99"/>
    <w:rsid w:val="004F5076"/>
    <w:pPr>
      <w:tabs>
        <w:tab w:val="center" w:pos="4677"/>
        <w:tab w:val="right" w:pos="9355"/>
      </w:tabs>
    </w:pPr>
  </w:style>
  <w:style w:type="character" w:customStyle="1" w:styleId="a4">
    <w:name w:val="Нижний колонтитул Знак"/>
    <w:basedOn w:val="a0"/>
    <w:link w:val="a3"/>
    <w:uiPriority w:val="99"/>
    <w:rsid w:val="004F5076"/>
    <w:rPr>
      <w:rFonts w:ascii="Times New Roman" w:eastAsia="Times New Roman" w:hAnsi="Times New Roman" w:cs="Times New Roman"/>
      <w:sz w:val="24"/>
      <w:szCs w:val="24"/>
      <w:lang w:eastAsia="ar-SA"/>
    </w:rPr>
  </w:style>
  <w:style w:type="character" w:styleId="a5">
    <w:name w:val="page number"/>
    <w:basedOn w:val="a0"/>
    <w:rsid w:val="004F50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3424</Characters>
  <Application>Microsoft Office Word</Application>
  <DocSecurity>0</DocSecurity>
  <Lines>28</Lines>
  <Paragraphs>8</Paragraphs>
  <ScaleCrop>false</ScaleCrop>
  <Company>PFR034</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034TueshovaOV</dc:creator>
  <cp:lastModifiedBy>Шишкина Наталья Дмитриевна</cp:lastModifiedBy>
  <cp:revision>7</cp:revision>
  <dcterms:created xsi:type="dcterms:W3CDTF">2024-02-13T08:41:00Z</dcterms:created>
  <dcterms:modified xsi:type="dcterms:W3CDTF">2024-10-23T04:52:00Z</dcterms:modified>
</cp:coreProperties>
</file>