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EC" w:rsidRPr="006537EC" w:rsidRDefault="00436C27" w:rsidP="006537EC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Техническое задание</w:t>
      </w:r>
    </w:p>
    <w:p w:rsidR="00C45AD7" w:rsidRPr="00C45AD7" w:rsidRDefault="00436C27" w:rsidP="00C45AD7">
      <w:pPr>
        <w:keepNext/>
        <w:spacing w:line="276" w:lineRule="auto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="00C45AD7" w:rsidRPr="00C45AD7">
        <w:rPr>
          <w:sz w:val="26"/>
          <w:szCs w:val="26"/>
        </w:rPr>
        <w:t xml:space="preserve">а поставку </w:t>
      </w:r>
      <w:r w:rsidR="00C45AD7" w:rsidRPr="00C45AD7">
        <w:rPr>
          <w:bCs/>
          <w:sz w:val="26"/>
          <w:szCs w:val="26"/>
        </w:rPr>
        <w:t>технических средств реабилитации –</w:t>
      </w:r>
      <w:r w:rsidR="00C45AD7" w:rsidRPr="00C45AD7">
        <w:rPr>
          <w:sz w:val="26"/>
          <w:szCs w:val="26"/>
        </w:rPr>
        <w:t xml:space="preserve"> телевизоров с телетекстом для приема программ со скрытыми субтитрами с диагональю не менее 80 см в 2024 году.</w:t>
      </w:r>
    </w:p>
    <w:p w:rsidR="00C45AD7" w:rsidRPr="00C45AD7" w:rsidRDefault="00C45AD7" w:rsidP="00C45AD7">
      <w:pPr>
        <w:suppressLineNumbers/>
        <w:suppressAutoHyphens/>
        <w:spacing w:line="276" w:lineRule="auto"/>
        <w:rPr>
          <w:sz w:val="26"/>
          <w:szCs w:val="26"/>
        </w:rPr>
      </w:pPr>
    </w:p>
    <w:p w:rsidR="00C45AD7" w:rsidRPr="00C45AD7" w:rsidRDefault="00C45AD7" w:rsidP="00C45AD7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C45AD7">
        <w:rPr>
          <w:sz w:val="26"/>
          <w:szCs w:val="26"/>
        </w:rPr>
        <w:t>1. Требования к количеству.</w:t>
      </w:r>
    </w:p>
    <w:p w:rsidR="00C45AD7" w:rsidRPr="00C45AD7" w:rsidRDefault="00C45AD7" w:rsidP="00C45AD7">
      <w:pPr>
        <w:spacing w:line="276" w:lineRule="auto"/>
        <w:ind w:firstLine="709"/>
        <w:jc w:val="both"/>
        <w:rPr>
          <w:sz w:val="26"/>
          <w:szCs w:val="26"/>
        </w:rPr>
      </w:pPr>
      <w:r w:rsidRPr="00C45AD7">
        <w:rPr>
          <w:sz w:val="26"/>
          <w:szCs w:val="26"/>
        </w:rPr>
        <w:t xml:space="preserve">Количество изделий: </w:t>
      </w:r>
      <w:r w:rsidR="00004F7C">
        <w:rPr>
          <w:sz w:val="26"/>
          <w:szCs w:val="26"/>
        </w:rPr>
        <w:t>300</w:t>
      </w:r>
      <w:r w:rsidRPr="00C45AD7">
        <w:rPr>
          <w:sz w:val="26"/>
          <w:szCs w:val="26"/>
        </w:rPr>
        <w:t xml:space="preserve"> шт.</w:t>
      </w:r>
    </w:p>
    <w:p w:rsidR="00C45AD7" w:rsidRPr="00C45AD7" w:rsidRDefault="00C45AD7" w:rsidP="00C45AD7">
      <w:pPr>
        <w:spacing w:line="276" w:lineRule="auto"/>
        <w:ind w:firstLine="709"/>
        <w:jc w:val="both"/>
        <w:rPr>
          <w:sz w:val="26"/>
          <w:szCs w:val="26"/>
        </w:rPr>
      </w:pPr>
    </w:p>
    <w:p w:rsidR="00C45AD7" w:rsidRPr="00C45AD7" w:rsidRDefault="00C45AD7" w:rsidP="00C45AD7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C45AD7">
        <w:rPr>
          <w:sz w:val="26"/>
          <w:szCs w:val="26"/>
        </w:rPr>
        <w:t>2. Требования к поставляемым изделиям.</w:t>
      </w:r>
    </w:p>
    <w:p w:rsidR="00C45AD7" w:rsidRPr="00C45AD7" w:rsidRDefault="00C45AD7" w:rsidP="00C45AD7">
      <w:pPr>
        <w:spacing w:line="276" w:lineRule="auto"/>
        <w:ind w:firstLine="720"/>
        <w:jc w:val="both"/>
        <w:rPr>
          <w:sz w:val="26"/>
          <w:szCs w:val="26"/>
        </w:rPr>
      </w:pPr>
      <w:r w:rsidRPr="00C45AD7">
        <w:rPr>
          <w:sz w:val="26"/>
          <w:szCs w:val="26"/>
        </w:rPr>
        <w:t>Товар должен отвечать требованиям действующих ГОСТов и (или) ТУ, относящимся к показателям описыв</w:t>
      </w:r>
      <w:r w:rsidR="00436C27">
        <w:rPr>
          <w:sz w:val="26"/>
          <w:szCs w:val="26"/>
        </w:rPr>
        <w:t xml:space="preserve">аемого объекта закупки, в </w:t>
      </w:r>
      <w:proofErr w:type="spellStart"/>
      <w:r w:rsidR="00436C27">
        <w:rPr>
          <w:sz w:val="26"/>
          <w:szCs w:val="26"/>
        </w:rPr>
        <w:t>т.ч</w:t>
      </w:r>
      <w:proofErr w:type="spellEnd"/>
      <w:r w:rsidR="00436C27">
        <w:rPr>
          <w:sz w:val="26"/>
          <w:szCs w:val="26"/>
        </w:rPr>
        <w:t xml:space="preserve">. </w:t>
      </w:r>
      <w:r w:rsidRPr="00C45AD7">
        <w:rPr>
          <w:sz w:val="26"/>
          <w:szCs w:val="26"/>
        </w:rPr>
        <w:t>ГОСТ ISO 10993-1-2021 «Изделия медицинские. Оценка биологического действия медицинских изделий. Часть 1. Оценка и исследования»,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50861-96 «Система телетекст» (п. 4.9.6).</w:t>
      </w:r>
    </w:p>
    <w:p w:rsidR="00C45AD7" w:rsidRPr="00C45AD7" w:rsidRDefault="00C45AD7" w:rsidP="00C45AD7">
      <w:pPr>
        <w:spacing w:line="276" w:lineRule="auto"/>
        <w:ind w:firstLine="720"/>
        <w:jc w:val="both"/>
        <w:rPr>
          <w:sz w:val="26"/>
          <w:szCs w:val="26"/>
        </w:rPr>
      </w:pPr>
      <w:r w:rsidRPr="00C45AD7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45AD7" w:rsidRPr="00C45AD7" w:rsidRDefault="00C45AD7" w:rsidP="00C45AD7">
      <w:pPr>
        <w:spacing w:line="276" w:lineRule="auto"/>
        <w:ind w:firstLine="720"/>
        <w:jc w:val="both"/>
        <w:rPr>
          <w:sz w:val="26"/>
          <w:szCs w:val="26"/>
        </w:rPr>
      </w:pPr>
      <w:r w:rsidRPr="00C45AD7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C45AD7" w:rsidRPr="00C45AD7" w:rsidRDefault="00C45AD7" w:rsidP="00C45AD7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C45AD7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C45AD7" w:rsidRPr="00C45AD7" w:rsidRDefault="00C45AD7" w:rsidP="00C45AD7">
      <w:pPr>
        <w:spacing w:line="276" w:lineRule="auto"/>
        <w:ind w:firstLine="720"/>
        <w:jc w:val="both"/>
        <w:rPr>
          <w:sz w:val="26"/>
          <w:szCs w:val="26"/>
        </w:rPr>
      </w:pPr>
      <w:r w:rsidRPr="00C45AD7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C45AD7" w:rsidRPr="00C45AD7" w:rsidRDefault="00C45AD7" w:rsidP="00C45A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5AD7">
        <w:rPr>
          <w:sz w:val="26"/>
          <w:szCs w:val="26"/>
        </w:rPr>
        <w:t xml:space="preserve">Гарантийный срок </w:t>
      </w:r>
      <w:proofErr w:type="gramStart"/>
      <w:r w:rsidRPr="00C45AD7">
        <w:rPr>
          <w:sz w:val="26"/>
          <w:szCs w:val="26"/>
        </w:rPr>
        <w:t xml:space="preserve">составляет </w:t>
      </w:r>
      <w:r w:rsidRPr="00EB4262">
        <w:rPr>
          <w:sz w:val="26"/>
          <w:szCs w:val="26"/>
        </w:rPr>
        <w:t xml:space="preserve"> 12</w:t>
      </w:r>
      <w:proofErr w:type="gramEnd"/>
      <w:r w:rsidRPr="00EB4262">
        <w:rPr>
          <w:sz w:val="26"/>
          <w:szCs w:val="26"/>
        </w:rPr>
        <w:t xml:space="preserve"> месяцев</w:t>
      </w:r>
      <w:r w:rsidRPr="00C45AD7">
        <w:rPr>
          <w:sz w:val="26"/>
          <w:szCs w:val="26"/>
        </w:rPr>
        <w:t xml:space="preserve">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984C82" w:rsidRPr="00E02E6F" w:rsidRDefault="00984C82" w:rsidP="00984C82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84C82">
        <w:rPr>
          <w:color w:val="FF0000"/>
          <w:sz w:val="26"/>
          <w:szCs w:val="26"/>
        </w:rPr>
        <w:t xml:space="preserve">     </w:t>
      </w:r>
      <w:r w:rsidRPr="00E02E6F">
        <w:rPr>
          <w:sz w:val="26"/>
          <w:szCs w:val="26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984C82" w:rsidRPr="00E02E6F" w:rsidRDefault="00984C82" w:rsidP="00984C82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 w:rsidRPr="00E02E6F">
        <w:rPr>
          <w:sz w:val="26"/>
          <w:szCs w:val="26"/>
        </w:rPr>
        <w:tab/>
      </w:r>
      <w:r w:rsidRPr="00E02E6F">
        <w:rPr>
          <w:sz w:val="26"/>
          <w:szCs w:val="26"/>
        </w:rPr>
        <w:tab/>
        <w:t>Срок осуществления замены Товара не должен превышать 30 рабочих дней со дня обращения Получателя (Заказчика).</w:t>
      </w:r>
    </w:p>
    <w:p w:rsidR="00C45AD7" w:rsidRPr="00C45AD7" w:rsidRDefault="00C45AD7" w:rsidP="00C45AD7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 w:rsidRPr="00C45AD7">
        <w:rPr>
          <w:sz w:val="26"/>
          <w:szCs w:val="26"/>
        </w:rPr>
        <w:br w:type="page"/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7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8222"/>
        <w:gridCol w:w="850"/>
        <w:gridCol w:w="992"/>
      </w:tblGrid>
      <w:tr w:rsidR="00C45AD7" w:rsidRPr="00C45AD7" w:rsidTr="007367A3">
        <w:trPr>
          <w:trHeight w:val="1789"/>
        </w:trPr>
        <w:tc>
          <w:tcPr>
            <w:tcW w:w="567" w:type="dxa"/>
          </w:tcPr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843" w:type="dxa"/>
          </w:tcPr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222" w:type="dxa"/>
          </w:tcPr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C45AD7" w:rsidRPr="00C45AD7" w:rsidRDefault="00C45AD7" w:rsidP="00C45A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C45AD7" w:rsidRPr="00C45AD7" w:rsidTr="007367A3">
        <w:tc>
          <w:tcPr>
            <w:tcW w:w="567" w:type="dxa"/>
          </w:tcPr>
          <w:p w:rsidR="00C45AD7" w:rsidRPr="00C45AD7" w:rsidRDefault="00C45AD7" w:rsidP="00C45AD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43" w:type="dxa"/>
          </w:tcPr>
          <w:p w:rsidR="00C45AD7" w:rsidRPr="00C45AD7" w:rsidRDefault="00C45AD7" w:rsidP="00C45AD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sz w:val="26"/>
                <w:szCs w:val="26"/>
                <w:lang w:eastAsia="en-US"/>
              </w:rPr>
              <w:t>26.40.20.122-00000007 - 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701" w:type="dxa"/>
          </w:tcPr>
          <w:p w:rsidR="00C45AD7" w:rsidRPr="00BA5F95" w:rsidRDefault="00C45AD7" w:rsidP="00C45AD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A5F95">
              <w:rPr>
                <w:rFonts w:eastAsiaTheme="minorHAnsi"/>
                <w:sz w:val="26"/>
                <w:szCs w:val="26"/>
                <w:lang w:eastAsia="en-US"/>
              </w:rPr>
              <w:t>18-01-01-2 - 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843" w:type="dxa"/>
          </w:tcPr>
          <w:p w:rsidR="00C45AD7" w:rsidRPr="00C45AD7" w:rsidRDefault="00C45AD7" w:rsidP="00C45AD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sz w:val="26"/>
                <w:szCs w:val="26"/>
                <w:lang w:eastAsia="en-US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8222" w:type="dxa"/>
          </w:tcPr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должен быть жидкокристаллическим.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Диагональ телевизора должна быть не менее 80 см (не менее 32 дюйма) (</w:t>
            </w:r>
            <w:r w:rsidRPr="00BA5F95">
              <w:rPr>
                <w:rFonts w:eastAsiaTheme="minorHAnsi"/>
                <w:i/>
                <w:sz w:val="26"/>
                <w:szCs w:val="26"/>
                <w:lang w:eastAsia="ar-SA"/>
              </w:rPr>
              <w:t>участник в своей заявке должен конкретизировать данный показатель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).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Формат экрана 16:9.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Частота обновления не менее 50 Гц (</w:t>
            </w:r>
            <w:r w:rsidRPr="00BA5F95">
              <w:rPr>
                <w:rFonts w:eastAsiaTheme="minorHAnsi"/>
                <w:i/>
                <w:sz w:val="26"/>
                <w:szCs w:val="26"/>
                <w:lang w:eastAsia="ar-SA"/>
              </w:rPr>
              <w:t>участник в своей заявке должен конкретизировать данный показатель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).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Класс энергетической эффективности «А» и выше (</w:t>
            </w:r>
            <w:r w:rsidRPr="00BA5F95">
              <w:rPr>
                <w:rFonts w:eastAsiaTheme="minorHAnsi"/>
                <w:i/>
                <w:sz w:val="26"/>
                <w:szCs w:val="26"/>
                <w:lang w:eastAsia="ar-SA"/>
              </w:rPr>
              <w:t>участник в своей заявке должен конкретизировать данный показатель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).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Поддержка стандартов DVB-T2; DVB-C.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Количество принимаемых каналов не менее 30 (</w:t>
            </w:r>
            <w:r w:rsidRPr="00BA5F95">
              <w:rPr>
                <w:rFonts w:eastAsiaTheme="minorHAnsi"/>
                <w:i/>
                <w:sz w:val="26"/>
                <w:szCs w:val="26"/>
                <w:lang w:eastAsia="ar-SA"/>
              </w:rPr>
              <w:t>участник в своей заявке должен конкретизировать данный показатель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).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Телетекст с памятью не менее 10 страниц (</w:t>
            </w:r>
            <w:r w:rsidRPr="00BA5F95">
              <w:rPr>
                <w:rFonts w:eastAsiaTheme="minorHAnsi"/>
                <w:i/>
                <w:sz w:val="26"/>
                <w:szCs w:val="26"/>
                <w:lang w:eastAsia="ar-SA"/>
              </w:rPr>
              <w:t>участник в своей заявке должен конкретизировать данный показатель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).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Наличие разъёмов для наушников.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Мощность звука не менее 2 Вт (</w:t>
            </w:r>
            <w:r w:rsidRPr="00BA5F95">
              <w:rPr>
                <w:rFonts w:eastAsiaTheme="minorHAnsi"/>
                <w:i/>
                <w:sz w:val="26"/>
                <w:szCs w:val="26"/>
                <w:lang w:eastAsia="ar-SA"/>
              </w:rPr>
              <w:t>участник в своей заявке должен конкретизировать данный показатель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).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Акустическая система не менее одного динамика (</w:t>
            </w:r>
            <w:r w:rsidRPr="00BA5F95">
              <w:rPr>
                <w:rFonts w:eastAsiaTheme="minorHAnsi"/>
                <w:i/>
                <w:sz w:val="26"/>
                <w:szCs w:val="26"/>
                <w:lang w:eastAsia="ar-SA"/>
              </w:rPr>
              <w:t>участник в своей заявке должен конкретизировать данный показатель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).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</w:t>
            </w:r>
            <w:r w:rsidRPr="00BA5F95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«Телетекст» (в соответствии с пунктом 4.9.6 ГОСТ Р 50861-96 «Система телетекст. Основные параметры. Методы измерения»). </w:t>
            </w:r>
          </w:p>
          <w:p w:rsidR="00C45AD7" w:rsidRPr="00BA5F95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 xml:space="preserve">Меню должно быть на русском языке. </w:t>
            </w:r>
          </w:p>
          <w:p w:rsidR="00C45AD7" w:rsidRPr="00C45AD7" w:rsidRDefault="00C45AD7" w:rsidP="00C45AD7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BA5F95">
              <w:rPr>
                <w:rFonts w:eastAsiaTheme="minorHAnsi"/>
                <w:sz w:val="26"/>
                <w:szCs w:val="26"/>
                <w:lang w:eastAsia="ar-SA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  <w:r w:rsidRPr="00C45AD7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C45AD7" w:rsidRPr="00C45AD7" w:rsidRDefault="00C45AD7" w:rsidP="00C45AD7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C45AD7" w:rsidRPr="00C45AD7" w:rsidRDefault="00004F7C" w:rsidP="00C45AD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C45AD7" w:rsidRPr="00C45AD7" w:rsidTr="007367A3">
        <w:tc>
          <w:tcPr>
            <w:tcW w:w="15026" w:type="dxa"/>
            <w:gridSpan w:val="6"/>
          </w:tcPr>
          <w:p w:rsidR="00C45AD7" w:rsidRPr="00C45AD7" w:rsidRDefault="00C45AD7" w:rsidP="00C45AD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5AD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C45AD7" w:rsidRPr="00C45AD7" w:rsidRDefault="00004F7C" w:rsidP="00C45AD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</w:tbl>
    <w:p w:rsidR="00252ACC" w:rsidRPr="00BB5A3E" w:rsidRDefault="00252ACC">
      <w:pPr>
        <w:rPr>
          <w:sz w:val="26"/>
          <w:szCs w:val="26"/>
        </w:rPr>
      </w:pPr>
    </w:p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5A6CCF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</w:t>
      </w:r>
      <w:r w:rsidR="00EF01BE">
        <w:rPr>
          <w:sz w:val="26"/>
          <w:szCs w:val="26"/>
        </w:rPr>
        <w:t>ах Самарской области по выбору П</w:t>
      </w:r>
      <w:r w:rsidRPr="003911E1">
        <w:rPr>
          <w:sz w:val="26"/>
          <w:szCs w:val="26"/>
        </w:rPr>
        <w:t>оставщика.</w:t>
      </w:r>
    </w:p>
    <w:p w:rsidR="005A6CCF" w:rsidRDefault="005A6CCF" w:rsidP="005A6CCF">
      <w:pPr>
        <w:rPr>
          <w:sz w:val="26"/>
          <w:szCs w:val="26"/>
        </w:rPr>
      </w:pPr>
    </w:p>
    <w:p w:rsidR="005A6CCF" w:rsidRPr="00BA5F95" w:rsidRDefault="005A6CCF" w:rsidP="005A6CCF">
      <w:pPr>
        <w:ind w:firstLine="708"/>
        <w:jc w:val="both"/>
        <w:rPr>
          <w:b/>
          <w:sz w:val="26"/>
          <w:szCs w:val="26"/>
        </w:rPr>
      </w:pPr>
      <w:r w:rsidRPr="00BA5F95">
        <w:rPr>
          <w:b/>
          <w:sz w:val="26"/>
          <w:szCs w:val="26"/>
        </w:rPr>
        <w:t>Обоснование необходимости использования дополнительной информации:</w:t>
      </w:r>
    </w:p>
    <w:p w:rsidR="005A6CCF" w:rsidRPr="00BA5F95" w:rsidRDefault="005A6CCF" w:rsidP="005A6CCF">
      <w:pPr>
        <w:ind w:firstLine="708"/>
        <w:jc w:val="both"/>
        <w:rPr>
          <w:sz w:val="26"/>
          <w:szCs w:val="26"/>
        </w:rPr>
      </w:pPr>
      <w:r w:rsidRPr="00BA5F95">
        <w:rPr>
          <w:sz w:val="26"/>
          <w:szCs w:val="26"/>
        </w:rPr>
        <w:t xml:space="preserve">           В соответствии  с  пунктом  2  части 1 статьи 33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Заказчик при описании в документации о закупке объекта закупки должен использовать показатели, требования, условные обозначения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 потребностям заказчика. </w:t>
      </w:r>
    </w:p>
    <w:p w:rsidR="005A6CCF" w:rsidRPr="00BA5F95" w:rsidRDefault="005A6CCF" w:rsidP="005A6CCF">
      <w:pPr>
        <w:ind w:firstLine="708"/>
        <w:jc w:val="both"/>
        <w:rPr>
          <w:sz w:val="26"/>
          <w:szCs w:val="26"/>
        </w:rPr>
      </w:pPr>
      <w:r w:rsidRPr="00BA5F95">
        <w:rPr>
          <w:sz w:val="26"/>
          <w:szCs w:val="26"/>
        </w:rPr>
        <w:t xml:space="preserve">           В связи с тем, что характеристика, указанная в КТРУ не является исчерпывающей и не позволяет точно определить качественные, функциональные и технические характеристики закупаемого товара, необходимо в описании объекта закупки указать дополнительную информацию, которым должен отвечать закупаемый товар.</w:t>
      </w:r>
    </w:p>
    <w:p w:rsidR="00490F54" w:rsidRPr="00BA5F95" w:rsidRDefault="00490F54" w:rsidP="005A6CCF">
      <w:pPr>
        <w:ind w:firstLine="708"/>
        <w:rPr>
          <w:sz w:val="26"/>
          <w:szCs w:val="26"/>
        </w:rPr>
      </w:pPr>
    </w:p>
    <w:sectPr w:rsidR="00490F54" w:rsidRPr="00BA5F95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04F7C"/>
    <w:rsid w:val="000607F8"/>
    <w:rsid w:val="000F1E63"/>
    <w:rsid w:val="000F240F"/>
    <w:rsid w:val="0011572F"/>
    <w:rsid w:val="00126CD1"/>
    <w:rsid w:val="0015766B"/>
    <w:rsid w:val="001C0681"/>
    <w:rsid w:val="00252ACC"/>
    <w:rsid w:val="002D3637"/>
    <w:rsid w:val="002E1A8C"/>
    <w:rsid w:val="00326B6C"/>
    <w:rsid w:val="0033760A"/>
    <w:rsid w:val="00357561"/>
    <w:rsid w:val="003911E1"/>
    <w:rsid w:val="003F0DE0"/>
    <w:rsid w:val="00436C27"/>
    <w:rsid w:val="00490F54"/>
    <w:rsid w:val="00566DD4"/>
    <w:rsid w:val="005A6CCF"/>
    <w:rsid w:val="005C68D2"/>
    <w:rsid w:val="005F56C6"/>
    <w:rsid w:val="006452C0"/>
    <w:rsid w:val="006537EC"/>
    <w:rsid w:val="006D57D2"/>
    <w:rsid w:val="00842366"/>
    <w:rsid w:val="00896516"/>
    <w:rsid w:val="0097481D"/>
    <w:rsid w:val="00984C82"/>
    <w:rsid w:val="00A914BB"/>
    <w:rsid w:val="00B16D68"/>
    <w:rsid w:val="00B224AA"/>
    <w:rsid w:val="00BA5F95"/>
    <w:rsid w:val="00BB5A3E"/>
    <w:rsid w:val="00BD005C"/>
    <w:rsid w:val="00BD632C"/>
    <w:rsid w:val="00C45AD7"/>
    <w:rsid w:val="00D3639B"/>
    <w:rsid w:val="00DF21FC"/>
    <w:rsid w:val="00E02E6F"/>
    <w:rsid w:val="00E36E66"/>
    <w:rsid w:val="00EA1773"/>
    <w:rsid w:val="00EB4262"/>
    <w:rsid w:val="00EF01BE"/>
    <w:rsid w:val="00F25BA4"/>
    <w:rsid w:val="00F27856"/>
    <w:rsid w:val="00F37482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B27F-00B6-4EC6-B39D-3B93C196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9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E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BD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06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DF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rsid w:val="00B1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1"/>
    <w:rsid w:val="00B2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rsid w:val="0065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1"/>
    <w:uiPriority w:val="59"/>
    <w:rsid w:val="00C4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Хохрин Викторин Евгеньевич</cp:lastModifiedBy>
  <cp:revision>51</cp:revision>
  <dcterms:created xsi:type="dcterms:W3CDTF">2020-08-17T12:06:00Z</dcterms:created>
  <dcterms:modified xsi:type="dcterms:W3CDTF">2024-05-02T13:26:00Z</dcterms:modified>
</cp:coreProperties>
</file>