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>
        <w:rPr>
          <w:rFonts w:ascii="Times New Roman" w:eastAsia="Arial Unicode MS" w:hAnsi="Times New Roman"/>
          <w:i/>
          <w:kern w:val="1"/>
          <w:sz w:val="22"/>
          <w:szCs w:val="22"/>
        </w:rPr>
        <w:t>Приложение № 2</w:t>
      </w: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 запросе </w:t>
      </w:r>
    </w:p>
    <w:p w:rsidR="0085425D" w:rsidRDefault="00B22A88" w:rsidP="00B22A88">
      <w:pPr>
        <w:keepNext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>котировок в электронной форме</w:t>
      </w:r>
    </w:p>
    <w:p w:rsidR="008B1524" w:rsidRDefault="008B1524" w:rsidP="0085425D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4721C7" w:rsidRPr="0085425D" w:rsidRDefault="004721C7" w:rsidP="0085425D">
      <w:pPr>
        <w:keepNext/>
        <w:jc w:val="center"/>
        <w:rPr>
          <w:rFonts w:ascii="Times New Roman" w:eastAsia="Arial Unicode MS" w:hAnsi="Times New Roman"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BE6865" w:rsidRDefault="00BE6865" w:rsidP="00475E68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D74687" w:rsidRPr="00F061FC" w:rsidRDefault="00D74687" w:rsidP="00D746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F061FC">
        <w:rPr>
          <w:rFonts w:ascii="Times New Roman" w:eastAsia="Times New Roman" w:hAnsi="Times New Roman"/>
          <w:b/>
          <w:sz w:val="22"/>
          <w:szCs w:val="22"/>
        </w:rPr>
        <w:t>Поставка специальных средств при нарушении функции выделения в 2024 году</w:t>
      </w:r>
    </w:p>
    <w:p w:rsidR="00D74687" w:rsidRPr="00D916CE" w:rsidRDefault="00D74687" w:rsidP="00D7468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22"/>
          <w:szCs w:val="22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552"/>
        <w:gridCol w:w="1558"/>
      </w:tblGrid>
      <w:tr w:rsidR="00642416" w:rsidRPr="00642416" w:rsidTr="0024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widowControl w:val="0"/>
              <w:spacing w:line="256" w:lineRule="auto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widowControl w:val="0"/>
              <w:suppressLineNumbers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Наименование товара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widowControl w:val="0"/>
              <w:spacing w:line="256" w:lineRule="auto"/>
              <w:ind w:firstLine="34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642416" w:rsidRPr="00642416" w:rsidTr="0024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нефростомии</w:t>
            </w:r>
            <w:proofErr w:type="spellEnd"/>
          </w:p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код позиции КТРУ:</w:t>
            </w: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Катетер </w:t>
            </w:r>
            <w:proofErr w:type="spellStart"/>
            <w:r w:rsidRPr="0064241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нефростомический</w:t>
            </w:r>
            <w:proofErr w:type="spellEnd"/>
          </w:p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64241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32.50.13.110 -00003233*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Система (с катетером) для </w:t>
            </w:r>
            <w:proofErr w:type="spellStart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нефростомии</w:t>
            </w:r>
            <w:proofErr w:type="spellEnd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Должна включать: </w:t>
            </w:r>
          </w:p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катетер для </w:t>
            </w:r>
            <w:proofErr w:type="spellStart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чрескожной</w:t>
            </w:r>
            <w:proofErr w:type="spellEnd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пункционной </w:t>
            </w:r>
            <w:proofErr w:type="spellStart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нефростомии</w:t>
            </w:r>
            <w:proofErr w:type="spellEnd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(ЧПНС), </w:t>
            </w:r>
            <w:proofErr w:type="spellStart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однопетлевой</w:t>
            </w:r>
            <w:proofErr w:type="spellEnd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с боковыми отверстиями на петле, материал термопластичный </w:t>
            </w:r>
            <w:proofErr w:type="spellStart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рентгеноконтрастный</w:t>
            </w:r>
            <w:proofErr w:type="spellEnd"/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, с гибким переходником и коннектором для присоединения к мочеприемнику;</w:t>
            </w:r>
          </w:p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- стилет для выпрямления петли катетера;</w:t>
            </w:r>
          </w:p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- проводник с гибким J-образным наконечником;</w:t>
            </w:r>
          </w:p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- пункционная игла;</w:t>
            </w:r>
          </w:p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дилататор.  </w:t>
            </w:r>
          </w:p>
          <w:p w:rsidR="00642416" w:rsidRPr="00642416" w:rsidRDefault="00642416" w:rsidP="00240426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Стерильная, для однократного применения. Различных размеров, индивидуальный подбор.</w:t>
            </w:r>
          </w:p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642416">
              <w:rPr>
                <w:rFonts w:ascii="Times New Roman" w:hAnsi="Times New Roman"/>
                <w:sz w:val="22"/>
                <w:szCs w:val="22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2416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642416" w:rsidRPr="00642416" w:rsidTr="0024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6" w:rsidRPr="00642416" w:rsidRDefault="00642416" w:rsidP="00240426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16" w:rsidRPr="00642416" w:rsidRDefault="00642416" w:rsidP="00240426">
            <w:pPr>
              <w:spacing w:line="25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64241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6" w:rsidRPr="00642416" w:rsidRDefault="00642416" w:rsidP="00240426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16" w:rsidRPr="00642416" w:rsidRDefault="00642416" w:rsidP="00240426">
            <w:pPr>
              <w:widowControl w:val="0"/>
              <w:tabs>
                <w:tab w:val="left" w:pos="142"/>
              </w:tabs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642416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70</w:t>
            </w:r>
          </w:p>
        </w:tc>
      </w:tr>
    </w:tbl>
    <w:p w:rsidR="00642416" w:rsidRPr="00642416" w:rsidRDefault="00642416" w:rsidP="006424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2"/>
          <w:szCs w:val="22"/>
        </w:rPr>
      </w:pPr>
    </w:p>
    <w:p w:rsidR="00642416" w:rsidRPr="00642416" w:rsidRDefault="00642416" w:rsidP="0064241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* Руководствуясь п. 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№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642416" w:rsidRPr="00642416" w:rsidRDefault="00642416" w:rsidP="00642416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Наименование Товара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Специальные средства при нарушении функции выделения соответств</w:t>
      </w:r>
      <w:r w:rsidR="002F7F47">
        <w:rPr>
          <w:rFonts w:ascii="Times New Roman" w:hAnsi="Times New Roman"/>
          <w:sz w:val="22"/>
          <w:szCs w:val="22"/>
        </w:rPr>
        <w:t>уют</w:t>
      </w:r>
      <w:r w:rsidRPr="00642416">
        <w:rPr>
          <w:rFonts w:ascii="Times New Roman" w:hAnsi="Times New Roman"/>
          <w:sz w:val="22"/>
          <w:szCs w:val="22"/>
        </w:rPr>
        <w:t>: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- ГОСТ Р 58235-2022 «Специальные средства при нарушении функции выделения. Термины и определения. Классификация»,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 xml:space="preserve">- ГОСТ Р 59449-2021 «Средства ухода за мочевыми </w:t>
      </w:r>
      <w:proofErr w:type="spellStart"/>
      <w:r w:rsidRPr="00642416">
        <w:rPr>
          <w:rFonts w:ascii="Times New Roman" w:hAnsi="Times New Roman"/>
          <w:sz w:val="22"/>
          <w:szCs w:val="22"/>
        </w:rPr>
        <w:t>стомами</w:t>
      </w:r>
      <w:proofErr w:type="spellEnd"/>
      <w:r w:rsidRPr="00642416">
        <w:rPr>
          <w:rFonts w:ascii="Times New Roman" w:hAnsi="Times New Roman"/>
          <w:sz w:val="22"/>
          <w:szCs w:val="22"/>
        </w:rPr>
        <w:t>, при недержании мочи у мужчин, при задержке мочи. Характеристики и основные требования. Методы испытаний»,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 xml:space="preserve">- ГОСТ </w:t>
      </w:r>
      <w:r w:rsidR="008B615D">
        <w:rPr>
          <w:rFonts w:ascii="Times New Roman" w:hAnsi="Times New Roman"/>
          <w:sz w:val="22"/>
          <w:szCs w:val="22"/>
          <w:lang w:val="en-US"/>
        </w:rPr>
        <w:t>ISO</w:t>
      </w:r>
      <w:r w:rsidRPr="00642416">
        <w:rPr>
          <w:rFonts w:ascii="Times New Roman" w:hAnsi="Times New Roman"/>
          <w:sz w:val="22"/>
          <w:szCs w:val="22"/>
        </w:rPr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 xml:space="preserve">- ГОСТ </w:t>
      </w:r>
      <w:r w:rsidR="008B615D">
        <w:rPr>
          <w:rFonts w:ascii="Times New Roman" w:hAnsi="Times New Roman"/>
          <w:sz w:val="22"/>
          <w:szCs w:val="22"/>
          <w:lang w:val="en-US"/>
        </w:rPr>
        <w:t>ISO</w:t>
      </w:r>
      <w:r w:rsidRPr="00642416">
        <w:rPr>
          <w:rFonts w:ascii="Times New Roman" w:hAnsi="Times New Roman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42416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Pr="00642416">
        <w:rPr>
          <w:rFonts w:ascii="Times New Roman" w:hAnsi="Times New Roman"/>
          <w:sz w:val="22"/>
          <w:szCs w:val="22"/>
        </w:rPr>
        <w:t xml:space="preserve">: методы </w:t>
      </w:r>
      <w:proofErr w:type="spellStart"/>
      <w:r w:rsidRPr="00642416">
        <w:rPr>
          <w:rFonts w:ascii="Times New Roman" w:hAnsi="Times New Roman"/>
          <w:sz w:val="22"/>
          <w:szCs w:val="22"/>
        </w:rPr>
        <w:t>in</w:t>
      </w:r>
      <w:proofErr w:type="spellEnd"/>
      <w:r w:rsidRPr="0064241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42416">
        <w:rPr>
          <w:rFonts w:ascii="Times New Roman" w:hAnsi="Times New Roman"/>
          <w:sz w:val="22"/>
          <w:szCs w:val="22"/>
        </w:rPr>
        <w:t>vitro</w:t>
      </w:r>
      <w:proofErr w:type="spellEnd"/>
      <w:r w:rsidRPr="00642416">
        <w:rPr>
          <w:rFonts w:ascii="Times New Roman" w:hAnsi="Times New Roman"/>
          <w:sz w:val="22"/>
          <w:szCs w:val="22"/>
        </w:rPr>
        <w:t>»,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 xml:space="preserve">- ГОСТ </w:t>
      </w:r>
      <w:r w:rsidR="008B615D">
        <w:rPr>
          <w:rFonts w:ascii="Times New Roman" w:hAnsi="Times New Roman"/>
          <w:sz w:val="22"/>
          <w:szCs w:val="22"/>
          <w:lang w:val="en-US"/>
        </w:rPr>
        <w:t>ISO</w:t>
      </w:r>
      <w:r w:rsidRPr="00642416">
        <w:rPr>
          <w:rFonts w:ascii="Times New Roman" w:hAnsi="Times New Roman"/>
          <w:sz w:val="22"/>
          <w:szCs w:val="2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lastRenderedPageBreak/>
        <w:t>- ГОСТ Р 52770-2023 «Изделия медицинские. Система оценки биологического действия. Общие требования безопасности».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 xml:space="preserve">Срок службы товара </w:t>
      </w:r>
      <w:r w:rsidR="002F7F47">
        <w:rPr>
          <w:rFonts w:ascii="Times New Roman" w:hAnsi="Times New Roman"/>
          <w:sz w:val="22"/>
          <w:szCs w:val="22"/>
        </w:rPr>
        <w:t>равен срокам</w:t>
      </w:r>
      <w:r w:rsidRPr="00642416">
        <w:rPr>
          <w:rFonts w:ascii="Times New Roman" w:hAnsi="Times New Roman"/>
          <w:sz w:val="22"/>
          <w:szCs w:val="22"/>
        </w:rPr>
        <w:t>, установленны</w:t>
      </w:r>
      <w:r w:rsidR="002F7F47">
        <w:rPr>
          <w:rFonts w:ascii="Times New Roman" w:hAnsi="Times New Roman"/>
          <w:sz w:val="22"/>
          <w:szCs w:val="22"/>
        </w:rPr>
        <w:t>м</w:t>
      </w:r>
      <w:r w:rsidRPr="00642416">
        <w:rPr>
          <w:rFonts w:ascii="Times New Roman" w:hAnsi="Times New Roman"/>
          <w:sz w:val="22"/>
          <w:szCs w:val="22"/>
        </w:rPr>
        <w:t xml:space="preserve">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642416">
        <w:rPr>
          <w:rFonts w:ascii="Times New Roman" w:hAnsi="Times New Roman"/>
          <w:sz w:val="22"/>
          <w:szCs w:val="22"/>
        </w:rPr>
        <w:t xml:space="preserve">Товар </w:t>
      </w:r>
      <w:r w:rsidR="002F7F47">
        <w:rPr>
          <w:rFonts w:ascii="Times New Roman" w:hAnsi="Times New Roman"/>
          <w:sz w:val="22"/>
          <w:szCs w:val="22"/>
        </w:rPr>
        <w:t>новый (ранее не использованный</w:t>
      </w:r>
      <w:r w:rsidRPr="00642416">
        <w:rPr>
          <w:rFonts w:ascii="Times New Roman" w:hAnsi="Times New Roman"/>
          <w:sz w:val="22"/>
          <w:szCs w:val="22"/>
        </w:rPr>
        <w:t>), свободны</w:t>
      </w:r>
      <w:r w:rsidR="002F7F47">
        <w:rPr>
          <w:rFonts w:ascii="Times New Roman" w:hAnsi="Times New Roman"/>
          <w:sz w:val="22"/>
          <w:szCs w:val="22"/>
        </w:rPr>
        <w:t>й</w:t>
      </w:r>
      <w:r w:rsidRPr="00642416">
        <w:rPr>
          <w:rFonts w:ascii="Times New Roman" w:hAnsi="Times New Roman"/>
          <w:sz w:val="22"/>
          <w:szCs w:val="22"/>
        </w:rPr>
        <w:t xml:space="preserve"> от прав третьих лиц, без дефектов и повреждений. </w:t>
      </w:r>
    </w:p>
    <w:bookmarkEnd w:id="0"/>
    <w:p w:rsidR="00642416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Товар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Инструкция, содержащая информацию по применению специальных средств при нарушении функции выделения, вложена в каждую упаковку поставляемого товара.</w:t>
      </w:r>
    </w:p>
    <w:p w:rsidR="003A5683" w:rsidRPr="00642416" w:rsidRDefault="00642416" w:rsidP="00642416">
      <w:pPr>
        <w:widowControl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42416">
        <w:rPr>
          <w:rFonts w:ascii="Times New Roman" w:hAnsi="Times New Roman"/>
          <w:sz w:val="22"/>
          <w:szCs w:val="22"/>
        </w:rPr>
        <w:t>Поставка Товара осуществля</w:t>
      </w:r>
      <w:r w:rsidR="002F7F47">
        <w:rPr>
          <w:rFonts w:ascii="Times New Roman" w:hAnsi="Times New Roman"/>
          <w:sz w:val="22"/>
          <w:szCs w:val="22"/>
        </w:rPr>
        <w:t>ется</w:t>
      </w:r>
      <w:r w:rsidRPr="00642416">
        <w:rPr>
          <w:rFonts w:ascii="Times New Roman" w:hAnsi="Times New Roman"/>
          <w:sz w:val="22"/>
          <w:szCs w:val="22"/>
        </w:rPr>
        <w:t xml:space="preserve"> при наличии действующих регистрационных удостоверений (обязательно).</w:t>
      </w:r>
    </w:p>
    <w:p w:rsidR="00497EEA" w:rsidRPr="007C3F9A" w:rsidRDefault="00497EEA" w:rsidP="007C3F9A">
      <w:pPr>
        <w:widowControl w:val="0"/>
        <w:ind w:left="-284" w:firstLine="85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826D11" w:rsidRPr="000B531E" w:rsidRDefault="00826D11" w:rsidP="000B531E">
      <w:pPr>
        <w:widowControl w:val="0"/>
        <w:ind w:left="-284" w:firstLine="568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26D11" w:rsidRPr="000B531E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0367A"/>
    <w:rsid w:val="000402CE"/>
    <w:rsid w:val="0004625C"/>
    <w:rsid w:val="00053212"/>
    <w:rsid w:val="00061FD9"/>
    <w:rsid w:val="0009351D"/>
    <w:rsid w:val="000A44D1"/>
    <w:rsid w:val="000B45C9"/>
    <w:rsid w:val="000B531E"/>
    <w:rsid w:val="000C139A"/>
    <w:rsid w:val="000D3155"/>
    <w:rsid w:val="000D3315"/>
    <w:rsid w:val="000E1DBE"/>
    <w:rsid w:val="000E39C2"/>
    <w:rsid w:val="000E3AD6"/>
    <w:rsid w:val="000E3FD7"/>
    <w:rsid w:val="000E4B42"/>
    <w:rsid w:val="000F2539"/>
    <w:rsid w:val="000F7FB6"/>
    <w:rsid w:val="001016B8"/>
    <w:rsid w:val="00126336"/>
    <w:rsid w:val="00130336"/>
    <w:rsid w:val="001432F4"/>
    <w:rsid w:val="00155B2D"/>
    <w:rsid w:val="00172CBB"/>
    <w:rsid w:val="00187FDF"/>
    <w:rsid w:val="00197C6D"/>
    <w:rsid w:val="001A32C6"/>
    <w:rsid w:val="001A79B7"/>
    <w:rsid w:val="0021016F"/>
    <w:rsid w:val="00210B80"/>
    <w:rsid w:val="002275CF"/>
    <w:rsid w:val="00253938"/>
    <w:rsid w:val="00262BDD"/>
    <w:rsid w:val="00274197"/>
    <w:rsid w:val="00276782"/>
    <w:rsid w:val="00283697"/>
    <w:rsid w:val="00285454"/>
    <w:rsid w:val="0029202D"/>
    <w:rsid w:val="00293E9F"/>
    <w:rsid w:val="002A1030"/>
    <w:rsid w:val="002A1A4D"/>
    <w:rsid w:val="002A1BA2"/>
    <w:rsid w:val="002E0D1F"/>
    <w:rsid w:val="002F0786"/>
    <w:rsid w:val="002F0C0F"/>
    <w:rsid w:val="002F17BE"/>
    <w:rsid w:val="002F1FEC"/>
    <w:rsid w:val="002F22BB"/>
    <w:rsid w:val="002F62BA"/>
    <w:rsid w:val="002F7F47"/>
    <w:rsid w:val="00307F4F"/>
    <w:rsid w:val="003138D3"/>
    <w:rsid w:val="0033434B"/>
    <w:rsid w:val="003514D7"/>
    <w:rsid w:val="00390807"/>
    <w:rsid w:val="00393FA2"/>
    <w:rsid w:val="003A5683"/>
    <w:rsid w:val="003B7E01"/>
    <w:rsid w:val="003C346B"/>
    <w:rsid w:val="003E0967"/>
    <w:rsid w:val="003E63B3"/>
    <w:rsid w:val="003F6B80"/>
    <w:rsid w:val="00410EAC"/>
    <w:rsid w:val="0042782C"/>
    <w:rsid w:val="004279BA"/>
    <w:rsid w:val="00427F25"/>
    <w:rsid w:val="00455544"/>
    <w:rsid w:val="00455F4E"/>
    <w:rsid w:val="00465A89"/>
    <w:rsid w:val="00467593"/>
    <w:rsid w:val="004721C7"/>
    <w:rsid w:val="0047584A"/>
    <w:rsid w:val="00475E68"/>
    <w:rsid w:val="004958E1"/>
    <w:rsid w:val="00497EEA"/>
    <w:rsid w:val="004C4FD2"/>
    <w:rsid w:val="0050557C"/>
    <w:rsid w:val="00515E60"/>
    <w:rsid w:val="005328E9"/>
    <w:rsid w:val="005557F4"/>
    <w:rsid w:val="00560C2F"/>
    <w:rsid w:val="005611D0"/>
    <w:rsid w:val="005623D6"/>
    <w:rsid w:val="00564525"/>
    <w:rsid w:val="00570C81"/>
    <w:rsid w:val="00572631"/>
    <w:rsid w:val="00572672"/>
    <w:rsid w:val="00590523"/>
    <w:rsid w:val="00591767"/>
    <w:rsid w:val="005E4665"/>
    <w:rsid w:val="005E46A0"/>
    <w:rsid w:val="005E6DB0"/>
    <w:rsid w:val="005F6952"/>
    <w:rsid w:val="006222BB"/>
    <w:rsid w:val="00632969"/>
    <w:rsid w:val="0063714E"/>
    <w:rsid w:val="00642416"/>
    <w:rsid w:val="006429AE"/>
    <w:rsid w:val="00644BD1"/>
    <w:rsid w:val="00646A33"/>
    <w:rsid w:val="006528C8"/>
    <w:rsid w:val="00660393"/>
    <w:rsid w:val="00662FB5"/>
    <w:rsid w:val="00670FAA"/>
    <w:rsid w:val="00677060"/>
    <w:rsid w:val="00687FAD"/>
    <w:rsid w:val="006911FE"/>
    <w:rsid w:val="006A7EE6"/>
    <w:rsid w:val="006C2231"/>
    <w:rsid w:val="006C46D0"/>
    <w:rsid w:val="006D6DED"/>
    <w:rsid w:val="006E5530"/>
    <w:rsid w:val="006F1967"/>
    <w:rsid w:val="006F5DEC"/>
    <w:rsid w:val="00734101"/>
    <w:rsid w:val="00734A3B"/>
    <w:rsid w:val="00734C83"/>
    <w:rsid w:val="00744A4E"/>
    <w:rsid w:val="00760E44"/>
    <w:rsid w:val="0076516C"/>
    <w:rsid w:val="0078277F"/>
    <w:rsid w:val="00787679"/>
    <w:rsid w:val="007A5C7F"/>
    <w:rsid w:val="007B5AE9"/>
    <w:rsid w:val="007C3F9A"/>
    <w:rsid w:val="007C6DB5"/>
    <w:rsid w:val="007F213E"/>
    <w:rsid w:val="007F64CA"/>
    <w:rsid w:val="007F6E4B"/>
    <w:rsid w:val="00801A45"/>
    <w:rsid w:val="00815F2A"/>
    <w:rsid w:val="008205EF"/>
    <w:rsid w:val="008247E5"/>
    <w:rsid w:val="00826D11"/>
    <w:rsid w:val="00833866"/>
    <w:rsid w:val="00835849"/>
    <w:rsid w:val="008401D3"/>
    <w:rsid w:val="00852ED6"/>
    <w:rsid w:val="0085425D"/>
    <w:rsid w:val="00862521"/>
    <w:rsid w:val="0088763F"/>
    <w:rsid w:val="0089207B"/>
    <w:rsid w:val="00896370"/>
    <w:rsid w:val="00897697"/>
    <w:rsid w:val="008B1524"/>
    <w:rsid w:val="008B615D"/>
    <w:rsid w:val="008C28FD"/>
    <w:rsid w:val="008E4DED"/>
    <w:rsid w:val="008F1718"/>
    <w:rsid w:val="00904570"/>
    <w:rsid w:val="00906B6B"/>
    <w:rsid w:val="009269CE"/>
    <w:rsid w:val="0095353F"/>
    <w:rsid w:val="0095613D"/>
    <w:rsid w:val="009643EC"/>
    <w:rsid w:val="00964A81"/>
    <w:rsid w:val="0097373D"/>
    <w:rsid w:val="0098292F"/>
    <w:rsid w:val="00992147"/>
    <w:rsid w:val="00994509"/>
    <w:rsid w:val="009C28D2"/>
    <w:rsid w:val="009D75DD"/>
    <w:rsid w:val="009F684B"/>
    <w:rsid w:val="00A033BF"/>
    <w:rsid w:val="00A11639"/>
    <w:rsid w:val="00A17586"/>
    <w:rsid w:val="00A31631"/>
    <w:rsid w:val="00A32E52"/>
    <w:rsid w:val="00A3322F"/>
    <w:rsid w:val="00A72D7B"/>
    <w:rsid w:val="00A73D0C"/>
    <w:rsid w:val="00A76BAB"/>
    <w:rsid w:val="00AB4016"/>
    <w:rsid w:val="00AB6F38"/>
    <w:rsid w:val="00B039F3"/>
    <w:rsid w:val="00B12F66"/>
    <w:rsid w:val="00B139FE"/>
    <w:rsid w:val="00B1713A"/>
    <w:rsid w:val="00B172CD"/>
    <w:rsid w:val="00B22A88"/>
    <w:rsid w:val="00B23E41"/>
    <w:rsid w:val="00B36EE6"/>
    <w:rsid w:val="00B66A20"/>
    <w:rsid w:val="00B71E8D"/>
    <w:rsid w:val="00B80C64"/>
    <w:rsid w:val="00B8640E"/>
    <w:rsid w:val="00B877A8"/>
    <w:rsid w:val="00BA0618"/>
    <w:rsid w:val="00BA5890"/>
    <w:rsid w:val="00BE0848"/>
    <w:rsid w:val="00BE6865"/>
    <w:rsid w:val="00BF6580"/>
    <w:rsid w:val="00C17FA0"/>
    <w:rsid w:val="00C20D27"/>
    <w:rsid w:val="00C317CC"/>
    <w:rsid w:val="00C6589D"/>
    <w:rsid w:val="00C71627"/>
    <w:rsid w:val="00C737B3"/>
    <w:rsid w:val="00C81925"/>
    <w:rsid w:val="00CA094E"/>
    <w:rsid w:val="00CA6BA0"/>
    <w:rsid w:val="00CB3221"/>
    <w:rsid w:val="00CB37B2"/>
    <w:rsid w:val="00CB6BC6"/>
    <w:rsid w:val="00CC6D81"/>
    <w:rsid w:val="00CC6DBE"/>
    <w:rsid w:val="00CD2F9F"/>
    <w:rsid w:val="00CE4EB9"/>
    <w:rsid w:val="00CE6824"/>
    <w:rsid w:val="00D008C4"/>
    <w:rsid w:val="00D017FD"/>
    <w:rsid w:val="00D10B2D"/>
    <w:rsid w:val="00D25D3C"/>
    <w:rsid w:val="00D26D70"/>
    <w:rsid w:val="00D35C7C"/>
    <w:rsid w:val="00D36FCF"/>
    <w:rsid w:val="00D74687"/>
    <w:rsid w:val="00D74691"/>
    <w:rsid w:val="00D95B45"/>
    <w:rsid w:val="00DB4E5C"/>
    <w:rsid w:val="00DF1AC9"/>
    <w:rsid w:val="00DF1F5A"/>
    <w:rsid w:val="00E01045"/>
    <w:rsid w:val="00E14C3D"/>
    <w:rsid w:val="00E203D0"/>
    <w:rsid w:val="00E33B57"/>
    <w:rsid w:val="00E57D53"/>
    <w:rsid w:val="00E663C2"/>
    <w:rsid w:val="00E70F8F"/>
    <w:rsid w:val="00E762E9"/>
    <w:rsid w:val="00E80107"/>
    <w:rsid w:val="00E8108F"/>
    <w:rsid w:val="00E90630"/>
    <w:rsid w:val="00EB7039"/>
    <w:rsid w:val="00EC6ECA"/>
    <w:rsid w:val="00ED1452"/>
    <w:rsid w:val="00ED28E1"/>
    <w:rsid w:val="00ED7B79"/>
    <w:rsid w:val="00EE1B3A"/>
    <w:rsid w:val="00EE2280"/>
    <w:rsid w:val="00F061FC"/>
    <w:rsid w:val="00F16B1A"/>
    <w:rsid w:val="00F21AA7"/>
    <w:rsid w:val="00F234A4"/>
    <w:rsid w:val="00F32BD9"/>
    <w:rsid w:val="00F40FC9"/>
    <w:rsid w:val="00F41AD0"/>
    <w:rsid w:val="00F57016"/>
    <w:rsid w:val="00F612AC"/>
    <w:rsid w:val="00F62FF6"/>
    <w:rsid w:val="00F818C5"/>
    <w:rsid w:val="00F96A75"/>
    <w:rsid w:val="00FC2025"/>
    <w:rsid w:val="00FD0494"/>
    <w:rsid w:val="00FD2DD4"/>
    <w:rsid w:val="00FD662E"/>
    <w:rsid w:val="00FE27D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B15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0F7FB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05321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Будина Диана Михайловна</cp:lastModifiedBy>
  <cp:revision>245</cp:revision>
  <cp:lastPrinted>2023-12-07T08:40:00Z</cp:lastPrinted>
  <dcterms:created xsi:type="dcterms:W3CDTF">2016-04-12T13:14:00Z</dcterms:created>
  <dcterms:modified xsi:type="dcterms:W3CDTF">2024-04-16T12:49:00Z</dcterms:modified>
</cp:coreProperties>
</file>