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63" w:rsidRDefault="00E30463" w:rsidP="001B1AF5">
      <w:pPr>
        <w:pStyle w:val="a9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E30463" w:rsidRDefault="00E30463" w:rsidP="001B1AF5">
      <w:pPr>
        <w:pStyle w:val="a9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1B1AF5" w:rsidRDefault="001B1AF5" w:rsidP="001B1AF5">
      <w:pPr>
        <w:pStyle w:val="a9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ОПИСАНИЕ ОБЪЕКТА ЗАКУПКИ</w:t>
      </w:r>
    </w:p>
    <w:p w:rsidR="001B1AF5" w:rsidRDefault="001B1AF5" w:rsidP="001B1AF5">
      <w:pPr>
        <w:pStyle w:val="a9"/>
        <w:spacing w:after="0" w:line="240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E30463" w:rsidRDefault="00E30463" w:rsidP="001B1AF5">
      <w:pPr>
        <w:pStyle w:val="a9"/>
        <w:spacing w:after="0" w:line="240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1B1AF5" w:rsidRDefault="001B1AF5" w:rsidP="001B1AF5">
      <w:pPr>
        <w:ind w:firstLine="567"/>
        <w:jc w:val="both"/>
      </w:pPr>
      <w:r>
        <w:rPr>
          <w:rStyle w:val="10"/>
          <w:rFonts w:ascii="Times New Roman" w:hAnsi="Times New Roman" w:cs="Times New Roman"/>
          <w:sz w:val="22"/>
          <w:szCs w:val="22"/>
        </w:rPr>
        <w:t>Справочно:</w:t>
      </w:r>
    </w:p>
    <w:p w:rsidR="001B1AF5" w:rsidRDefault="001B1AF5" w:rsidP="001B1AF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- Описание объекта закупки,  прилагаемое к извещению  о проведении  электронного конкурса, подготовлено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(далее по тексту - Закон), а также иными нормативными правовыми актами, регулирующими отношения в сфере закупок товаров, работ, услуг для государственных и муниципальных нужд.</w:t>
      </w:r>
      <w:proofErr w:type="gramEnd"/>
    </w:p>
    <w:p w:rsidR="00E30463" w:rsidRDefault="00E30463" w:rsidP="001B1AF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B1AF5" w:rsidRDefault="001B1AF5" w:rsidP="001B1AF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367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Электронный конкурс по тексту настоящего описания объекта закупки, прилагаемого  к извещению  о проведении  электронного конкурса, далее по тексту может быть поименован так же как  Конкурс или закупка. </w:t>
      </w:r>
    </w:p>
    <w:p w:rsidR="001B1AF5" w:rsidRDefault="001B1AF5" w:rsidP="001B1AF5">
      <w:pPr>
        <w:pStyle w:val="a9"/>
        <w:spacing w:after="0" w:line="240" w:lineRule="auto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8F0C11" w:rsidRPr="008F0C11" w:rsidRDefault="008F0C11" w:rsidP="008F0C11">
      <w:pPr>
        <w:keepLines/>
        <w:suppressLineNumbers/>
        <w:shd w:val="clear" w:color="auto" w:fill="FFFFFF"/>
        <w:snapToGrid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  <w:r w:rsidRPr="008F0C11"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 xml:space="preserve">По тексту настоящего </w:t>
      </w:r>
      <w:r w:rsidR="00D12D03"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>документа</w:t>
      </w:r>
      <w:r w:rsidRPr="008F0C11"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>:</w:t>
      </w:r>
    </w:p>
    <w:p w:rsidR="008F0C11" w:rsidRPr="008F0C11" w:rsidRDefault="008F0C11" w:rsidP="008F0C11">
      <w:pPr>
        <w:keepLines/>
        <w:suppressLineNumbers/>
        <w:shd w:val="clear" w:color="auto" w:fill="FFFFFF"/>
        <w:snapToGrid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  <w:r w:rsidRPr="008F0C11"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 xml:space="preserve">Протезы нижних конечностей далее поименованы, так же, как ПОИ или Изделие.  </w:t>
      </w:r>
    </w:p>
    <w:p w:rsidR="001B1AF5" w:rsidRDefault="001B1AF5" w:rsidP="008F0C11">
      <w:pPr>
        <w:keepLines/>
        <w:suppressLineNumbers/>
        <w:shd w:val="clear" w:color="auto" w:fill="FFFFFF"/>
        <w:snapToGrid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 xml:space="preserve">    </w:t>
      </w:r>
    </w:p>
    <w:p w:rsidR="00E30463" w:rsidRDefault="00E30463" w:rsidP="008F0C11">
      <w:pPr>
        <w:keepLines/>
        <w:suppressLineNumbers/>
        <w:shd w:val="clear" w:color="auto" w:fill="FFFFFF"/>
        <w:snapToGrid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</w:p>
    <w:p w:rsidR="001B1AF5" w:rsidRDefault="00D12D03" w:rsidP="001B1AF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В</w:t>
      </w:r>
      <w:r w:rsidRPr="00D12D03">
        <w:rPr>
          <w:rFonts w:ascii="Times New Roman" w:hAnsi="Times New Roman" w:cs="Times New Roman"/>
          <w:b/>
          <w:color w:val="000000"/>
          <w:sz w:val="22"/>
          <w:szCs w:val="22"/>
        </w:rPr>
        <w:t>ыполнение работ по изготовлению технических средств реабилитации (протезов нижних конечностей) с целью социального обеспечения граждан</w:t>
      </w:r>
      <w:r w:rsidR="001B1AF5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1B1AF5" w:rsidRDefault="001B1AF5" w:rsidP="001B1AF5">
      <w:pPr>
        <w:suppressAutoHyphens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ar-SA"/>
        </w:rPr>
      </w:pPr>
    </w:p>
    <w:p w:rsidR="007B19D4" w:rsidRPr="007B19D4" w:rsidRDefault="007B19D4" w:rsidP="007B19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19D4">
        <w:rPr>
          <w:rFonts w:ascii="Times New Roman" w:hAnsi="Times New Roman" w:cs="Times New Roman"/>
          <w:b/>
          <w:color w:val="000000"/>
          <w:sz w:val="22"/>
          <w:szCs w:val="22"/>
        </w:rPr>
        <w:t>Максимальное значение цены контракта</w:t>
      </w:r>
      <w:r w:rsidRPr="007B19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B19D4">
        <w:rPr>
          <w:rFonts w:ascii="Times New Roman" w:hAnsi="Times New Roman" w:cs="Times New Roman"/>
          <w:b/>
          <w:sz w:val="22"/>
          <w:szCs w:val="22"/>
        </w:rPr>
        <w:t>14 000 000 (четырнадцать миллионов) рублей 00 копеек</w:t>
      </w:r>
      <w:r w:rsidRPr="007B19D4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7B19D4" w:rsidRPr="007B19D4" w:rsidRDefault="007B19D4" w:rsidP="007B19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  <w:r w:rsidRPr="007B19D4">
        <w:rPr>
          <w:rFonts w:ascii="Times New Roman" w:hAnsi="Times New Roman" w:cs="Times New Roman"/>
          <w:sz w:val="22"/>
          <w:szCs w:val="22"/>
        </w:rPr>
        <w:t>по КБК</w:t>
      </w:r>
      <w:r w:rsidRPr="007B19D4">
        <w:rPr>
          <w:rFonts w:ascii="Times New Roman" w:hAnsi="Times New Roman" w:cs="Times New Roman"/>
          <w:color w:val="383838"/>
          <w:sz w:val="22"/>
          <w:szCs w:val="22"/>
          <w:bdr w:val="none" w:sz="0" w:space="0" w:color="auto" w:frame="1"/>
        </w:rPr>
        <w:t xml:space="preserve"> 79710030440139570323 – 12 000 000,00 рублей</w:t>
      </w:r>
    </w:p>
    <w:p w:rsidR="007B19D4" w:rsidRPr="007B19D4" w:rsidRDefault="007B19D4" w:rsidP="007B19D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83838"/>
          <w:sz w:val="22"/>
          <w:szCs w:val="22"/>
          <w:bdr w:val="none" w:sz="0" w:space="0" w:color="auto" w:frame="1"/>
        </w:rPr>
      </w:pPr>
      <w:r w:rsidRPr="007B19D4">
        <w:rPr>
          <w:rFonts w:ascii="Times New Roman" w:hAnsi="Times New Roman" w:cs="Times New Roman"/>
          <w:sz w:val="22"/>
          <w:szCs w:val="22"/>
        </w:rPr>
        <w:t xml:space="preserve">по КБК </w:t>
      </w:r>
      <w:r w:rsidRPr="007B19D4">
        <w:rPr>
          <w:rFonts w:ascii="Times New Roman" w:hAnsi="Times New Roman" w:cs="Times New Roman"/>
          <w:color w:val="383838"/>
          <w:sz w:val="22"/>
          <w:szCs w:val="22"/>
          <w:bdr w:val="none" w:sz="0" w:space="0" w:color="auto" w:frame="1"/>
        </w:rPr>
        <w:t>79710030340939630323 – 2 000 000,00 рублей</w:t>
      </w:r>
    </w:p>
    <w:p w:rsidR="007B19D4" w:rsidRPr="007B19D4" w:rsidRDefault="007B19D4" w:rsidP="007B19D4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B1AF5" w:rsidRDefault="001B1AF5" w:rsidP="001B1AF5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  <w:t>Объем выполняемых работ  определить невозможно.</w:t>
      </w:r>
    </w:p>
    <w:p w:rsidR="001B1AF5" w:rsidRDefault="001B1AF5" w:rsidP="001B1AF5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</w:p>
    <w:p w:rsidR="00E30463" w:rsidRDefault="00E30463" w:rsidP="001B1AF5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2"/>
          <w:szCs w:val="22"/>
        </w:rPr>
      </w:pPr>
    </w:p>
    <w:p w:rsidR="001B1AF5" w:rsidRDefault="001B1AF5" w:rsidP="001B1AF5">
      <w:pPr>
        <w:keepNext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</w:rPr>
        <w:t>Порядок определения объема выполняемой работы на основании заявок Заказчика.</w:t>
      </w:r>
    </w:p>
    <w:p w:rsidR="001B1AF5" w:rsidRDefault="001B1AF5" w:rsidP="001B1AF5">
      <w:pPr>
        <w:keepNext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Заказчик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направляет Исполнителю Реестр получателей ПОИ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. Так же, Заказчик выдает направления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лучателям ПОИ,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поименованным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 в Реестре получателей ПОИ. </w:t>
      </w:r>
    </w:p>
    <w:p w:rsidR="001B1AF5" w:rsidRDefault="001B1AF5" w:rsidP="001B1AF5">
      <w:pPr>
        <w:keepNext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На основании Реестра получателей ПОИ и представленного Исполнителю Получателем ПОИ направл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ния, Исполнитель выполняет работы, являющиеся предметом настоящего конкурса, в порядке и в сроки, уст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новленные настоящим документом. </w:t>
      </w:r>
    </w:p>
    <w:p w:rsidR="001B1AF5" w:rsidRDefault="001B1AF5" w:rsidP="001B1AF5">
      <w:pPr>
        <w:keepNext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Работы выполняются Исполнителем по цене единицы работы, которая будет определена по результатам проведенного конкурса.</w:t>
      </w:r>
    </w:p>
    <w:p w:rsidR="001B1AF5" w:rsidRDefault="001B1AF5" w:rsidP="001B1AF5">
      <w:pPr>
        <w:keepNext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Общая стоимость выполненных работ не должна превышать Максимальное значение цены Контракта.</w:t>
      </w:r>
    </w:p>
    <w:p w:rsidR="00C03319" w:rsidRPr="008F0C11" w:rsidRDefault="00C03319" w:rsidP="001B1AF5">
      <w:pPr>
        <w:keepNext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</w:pPr>
    </w:p>
    <w:p w:rsidR="007F5445" w:rsidRDefault="007F5445" w:rsidP="00E30463">
      <w:pPr>
        <w:keepLines/>
        <w:suppressLineNumbers/>
        <w:shd w:val="clear" w:color="auto" w:fill="FFFFFF"/>
        <w:snapToGrid w:val="0"/>
        <w:spacing w:before="24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 w:rsidRPr="007F544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Описание объекта  закупки (характеристика выполненных работ)</w:t>
      </w:r>
    </w:p>
    <w:p w:rsidR="007964B0" w:rsidRPr="007F5445" w:rsidRDefault="007964B0" w:rsidP="007F5445">
      <w:pPr>
        <w:keepLines/>
        <w:suppressLineNumbers/>
        <w:shd w:val="clear" w:color="auto" w:fill="FFFFFF"/>
        <w:snapToGrid w:val="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</w:p>
    <w:tbl>
      <w:tblPr>
        <w:tblW w:w="10794" w:type="dxa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3"/>
        <w:gridCol w:w="3389"/>
        <w:gridCol w:w="13"/>
        <w:gridCol w:w="4948"/>
        <w:gridCol w:w="1863"/>
      </w:tblGrid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45" w:rsidRPr="007F5445" w:rsidRDefault="007F5445" w:rsidP="00B14282">
            <w:pPr>
              <w:pStyle w:val="2-11"/>
              <w:snapToGrid w:val="0"/>
              <w:spacing w:after="0"/>
              <w:ind w:hanging="51"/>
              <w:jc w:val="center"/>
              <w:rPr>
                <w:b/>
                <w:color w:val="000000"/>
                <w:sz w:val="20"/>
                <w:szCs w:val="20"/>
              </w:rPr>
            </w:pPr>
            <w:r w:rsidRPr="007F544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F544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F544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45" w:rsidRPr="007F5445" w:rsidRDefault="007F5445" w:rsidP="00B14282">
            <w:pPr>
              <w:pStyle w:val="2-11"/>
              <w:snapToGri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F5445">
              <w:rPr>
                <w:b/>
                <w:color w:val="000000"/>
                <w:sz w:val="20"/>
                <w:szCs w:val="20"/>
              </w:rPr>
              <w:t>Наименование ПОИ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45" w:rsidRPr="007F5445" w:rsidRDefault="007F5445" w:rsidP="00B14282">
            <w:pPr>
              <w:pStyle w:val="2-11"/>
              <w:snapToGri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F5445">
              <w:rPr>
                <w:b/>
                <w:color w:val="000000"/>
                <w:sz w:val="20"/>
                <w:szCs w:val="22"/>
              </w:rPr>
              <w:t>Технические (функциональные), качественные характеристики, потребительские свойства Изделий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45" w:rsidRPr="007F5445" w:rsidRDefault="007F5445" w:rsidP="00B14282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7964B0" w:rsidRPr="007F5445" w:rsidTr="007964B0">
        <w:trPr>
          <w:trHeight w:val="510"/>
          <w:jc w:val="center"/>
        </w:trPr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4B0" w:rsidRPr="007964B0" w:rsidRDefault="007964B0" w:rsidP="00E30463">
            <w:pPr>
              <w:keepNext/>
              <w:spacing w:before="240" w:after="24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4B0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качеству, техническим (функциональным) характеристикам, потребительским свойствам ПОИ, изготавливаемых </w:t>
            </w:r>
            <w:r w:rsidRPr="007964B0">
              <w:rPr>
                <w:rFonts w:ascii="Times New Roman" w:hAnsi="Times New Roman" w:cs="Times New Roman"/>
                <w:bCs/>
                <w:sz w:val="22"/>
                <w:szCs w:val="22"/>
              </w:rPr>
              <w:t>для</w:t>
            </w:r>
            <w:r w:rsidRPr="0079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инвалидов, отдельных категорий граждан из числа ветеранов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 без силиконового чехла.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полимерные композиты, термопласты.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 В зависимости от индивидуальных особенностей Получателя применяется крепление с использованием кожаных полуфабрикатов, вакуумного бандажа, текстильного бандажа, гильзы на бедро.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Стопа энергосберегающая для Получателей 3, 4 уровня активности.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</w:t>
            </w:r>
            <w:proofErr w:type="gramEnd"/>
          </w:p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термопласты, полимерные композиты, кожа, возможно применение вкладной гильзы из вспененных материалов.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 В зависимости от индивидуальных особенностей Получателя применяется крепление с использованием вакуумного бандажа, текстильного бандажа, гильзы на бедро. Стопа энергосберегающая для Получателей 2, 3 уровня активности.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Протез голени модульный.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Постоянный.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полимерные композиты, кожа,  возможно применение вкладной гильзы из вспененных материалов.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 В зависимости от индивидуальных особенностей Получателя применяется крепление с использованием кожаных полуфабрикатов, вакуумного бандажа, текстильного бандажа, гильзы на бедро. Стопа энергосберегающая для Получателей 1, 2 уровня активности.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термопласты, полимерные композиты.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Полимерный чехол (лайнер) применяется в зависимости от индивидуальных особенностей Получателя - силиконовый,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мембрана и др. Крепление применяется в зависимости от индивидуальных особенностей Получателя и вида чехла – замок, вакуумное крепление, с использованием клапана. Стопа энергосберегающая для Получателей 3,4 уровня активности.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полимерные композиты, кожа, возможно применение вкладной гильзы из вспененных материалов.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В зависимости от индивидуальных особенностей Получателя применяется крепление с использованием кожаных полуфабрикатов, гильзы на бедро. Стопа с голеностопным шарниром, подвижным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сагиттальной плоскости.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термопласты, полимерные композиты.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Полимерный чехол (лайнер) применяется в зависимости от индивидуальных особенностей Получателя - силиконовый,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мембрана и др. Крепление применяется в зависимости от индивидуальных особенностей Получателя и вида чехла - замок, вакуумное крепление, с использованием клапана. Стопа энергосберегающая для Получателей 1,2 уровня активности.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термопласты, полимерные композиты.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Полимерный чехол (лайнер) применяется в зависимости от индивидуальных особенностей Получателя - силиконовый,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мембрана и др. Крепление применяется в зависимости от индивидуальных особенностей Получателя и вида чехла - замок, вакуумное крепление, с использованием клапана. Стопа энергосберегающая для Получателей 2,3 уровня активности.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(изделия):8-07-10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модульный. Постоянный. </w:t>
            </w:r>
            <w:proofErr w:type="gram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Косметическая</w:t>
            </w:r>
            <w:proofErr w:type="gram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облицовка-листовой поролон, покрытие облицовки-чулки косметические. Приёмная гильза изготавливается в зависимости от индивидуальных особенностей Получателя: унифицированная, материал марля и полиамидный лак или индивидуальная, материал слоистый пластик, термопласты, полимерные композиты, кожа.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Крепление с использованием кожаных полуфабрикатов или поддерживающего бедренного бандажа. Коленный модуль применяется в зависимости от индивидуальных особенностей Получателя, одноосный замковый или полицентрический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беззамковый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одноосный с механизмом торможения (механический). Стопа с голеностопным шарниром, подвижным в сагиттальной плоскости.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lastRenderedPageBreak/>
              <w:t xml:space="preserve">Номер вида технического средства </w:t>
            </w:r>
            <w:r w:rsidRPr="007F5445">
              <w:rPr>
                <w:color w:val="000000"/>
                <w:sz w:val="16"/>
                <w:szCs w:val="20"/>
              </w:rPr>
              <w:t>реабилитации (изделия):8-07-10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Протез бедра модульный. Постоянный. Косметическая облицовка – листовой поролон, покрытие облицовки – чулки косметические. Приемная гильза изготавливается в зависимости от индивидуальных особенностей Получателя: унифицированная, материал марля и полиамидный лак, или индивидуальная, материал слоистый пластик, термопласты, полимерные композиты, кожа.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Полимерный чехол (лайнер) применяется в зависимости от индивидуальных особенностей Получателя -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силиконовый,  мембрана, др. Крепление применяется в зависимости от индивидуальных особенностей Получателя и вида чехла – тяговая замковая система, замок, вакуумное крепление, с использованием клапана, поддерживающий бедренный бандаж, кожаные полуфабрикаты. Коленный модуль применяется в зависимости от индивидуальных особенностей Получателя: пневматический с механизмом торможения или полицентрический пневматический. Стопа энергосберегающая для Получателей 2,3 уровня активности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(изделия):8-07-10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модульный. Косметическая облицовка мягкая полиуретановая модульная (поролон). Косметическая оболочка – чехлы (чулки)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перлоновые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Приёмная гильза изготавливается в зависимости от индивидуальных особенностей Получателя: унифицированная, материал марля и полиамидный лак, или индивидуальная, материал слоистый пластик (карбон), с пробными гильзами. Крепление применяется в зависимости от индивидуальных особенностей Получателя и вида чехла  – тяговая замковая система, замок, вакуумное крепление, с использованием клапана, поддерживающий бедренный бандаж, кожаные полуфабрикаты. 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Коленный модуль с гидравлической системой управления. Стопа с высокой степенью энергосбережения.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rStyle w:val="ng-binding"/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(изделия):8-07-10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модульный. Постоянный. Косметическая облицовка – листовой поролон, покрытие облицовки – чулки косметические. Приёмная гильза изготавливается в зависимости от индивидуальных особенностей Получателя: унифицированная, материал марля и полиамидный лак, или индивидуальная, материал слоистый пластик, термопласты, полимерные композиты, кожа.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Крепление с использованием кожаных полуфабрикатов или поддерживающего бедренного бандажа. Коленный модуль применяется в зависимости от индивидуальных особенностей Получателя одноосный замковый, или полицентрический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беззамковый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или одноосный с механизмом торможения (механический). Стопа  энергосберегающая для Получателей 1,2  уровня активности.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(изделия):8-07-10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модульный. Постоянный. Косметическая облицовка – листовой поролон, покрытие облицовки – чулки косметические. Приемная гильза изготавливается в зависимости от индивидуальных особенностей Получателя: унифицированная, материал марля и полиамидный лак, или индивидуальная, материал слоистый пластик, термопласты, полимерные композиты, кожа.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Полимерный чехол (лайнер) применяется в зависимости от индивидуальных особенностей Получателя - силиконовый,  мембрана, др. Крепление применяется в зависимости от индивидуальных особенностей Получателя и вида чехла  – тяговая замковая система, замок, вакуумное крепление, с использованием клапана, поддерживающий бедренный бандаж.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Коленный модуль применяется в зависимости  от индивидуальных особенностей Получателя одноосный замковый, или полицентрический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беззамковый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или одноосный с механизмом торможения (механический). Стопа с голеностопным шарниром, </w:t>
            </w:r>
            <w:proofErr w:type="gram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подвижный</w:t>
            </w:r>
            <w:proofErr w:type="gram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сагиттальной плоскости.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для купания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(изделия):8-07-05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для купания без косметической облицовки.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Культиприемная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гильза  изготовлена по индивидуальному слепку с культи пациента. Материал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культиприемной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гильзы – литьевой слоистый пластик, усиленный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углетканью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(карбон). Крепление протеза тяговой замковой системой с использованием полимерного гелиевого чехла (1 штука) или при помощи поддерживающего бедренного бандажа и вакуумного клапана.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Коленный модуль замковый. Несущие конструкции коленного модуля выполнены из водоотталкивающих материалов. Стопа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бесшарнирная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монолитная, водостойкая. Подошва стопы имеет решетчатый профиль и благодаря специальной композиции применяемых материалов и форме, обладает очень хорошей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сцепляемостью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мокрой опорной поверхностью, что увеличивает безопасность пользования протезом.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для купания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7F5445" w:rsidRPr="007F5445" w:rsidRDefault="007F5445" w:rsidP="007F5445">
            <w:pPr>
              <w:pStyle w:val="2-11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16"/>
                <w:szCs w:val="20"/>
              </w:rPr>
              <w:t>Номер вида технического средства реабилитации (изделия):8-07-04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 голени для купания. Без косметической облицовки. Приемная гильза индивидуальная. Материал индивидуальной постоянной гильзы - слоистый пластик, термопласты, полимерные композиты.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водостойкое, соответствуют весу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Крепление за счет формы приемной гильзы с использованием вакуумного бандажа или бандажа - наколенника силиконового. Стопа монолитная водостойкая.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при вычленении бедра модульный</w:t>
            </w:r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(изделия):8-07-11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при вычленении в тазобедренном суставе, модульный. Косметическая облицовка листовой поролон. Косметическая оболочка чулки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силоновые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Приёмная гильза индивидуальная - 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полукорсет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использованием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велкро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(пробная гильза –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термолин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полиэтилен высокого давления). Материал постоянной гильзы слоистый пластик на основе акриловых смол. Допускается применение смягчающего слоя из вспененного материала (в зависимости от показаний).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Стопа с голеностопным шарниром подвижным в сагиттальной плоскости и сменным пяточным амортизатором. Коленный модуль с зависимым от нагрузки тормозным механизмом с опциональной функцией блокировки и контролем в фазе переноса. Наличие поворотной распределенной системы управления. Модульный тазобедренный шарнир  одноосный с замком или без замка, имеются боковые эластичные тяги и регулируемая упорная скоба, с возможностью регулирования тазобедренного шарнира при помощи вращения и смещения упорной скобы по трубке. </w:t>
            </w:r>
            <w:proofErr w:type="gram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в дистальной части трубки, в проксимальной - закладная пластина.</w:t>
            </w:r>
            <w:proofErr w:type="gramEnd"/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</w:tr>
      <w:tr w:rsidR="007F5445" w:rsidRPr="007F5445" w:rsidTr="007964B0">
        <w:trPr>
          <w:trHeight w:val="51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немодульный, в том числе при врожденном недоразвитии</w:t>
            </w:r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(наименование в соответствие с Приказом Министерства труда и социальной защиты РФ </w:t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lastRenderedPageBreak/>
              <w:t>от 13.02.2018г. №86н «Об утверждении классификаций технических средств реабилитации (изделий) в рамках федерального перечня реабилитационных</w:t>
            </w:r>
            <w:proofErr w:type="gramEnd"/>
          </w:p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 8-07-06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Протез голени немодульный, в том числе при врожденном недоразвитии.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косметической облицовки и оболочки. Приемная гильза унифицированная или индивидуальная.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 приемной гильзы: кожа. Без вкладной гильзы. Метод крепления протеза: с использованием кожаных полуфабрикатов. Стопа шарнирная полиуретановая, монолитная.</w:t>
            </w:r>
          </w:p>
          <w:p w:rsidR="007F5445" w:rsidRPr="007F5445" w:rsidRDefault="007F5445" w:rsidP="007F54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</w:rPr>
            </w:pPr>
            <w:r w:rsidRPr="007F54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штука</w:t>
            </w:r>
          </w:p>
        </w:tc>
      </w:tr>
      <w:tr w:rsidR="007964B0" w:rsidRPr="007F5445" w:rsidTr="007964B0">
        <w:trPr>
          <w:trHeight w:val="153"/>
          <w:jc w:val="center"/>
        </w:trPr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964B0" w:rsidRDefault="007964B0" w:rsidP="0055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4B0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 xml:space="preserve">Требования к качеству, техническим (функциональным) характеристикам, потребительским свойствам ПОИ, изготавливаемых </w:t>
            </w:r>
            <w:r w:rsidRPr="007964B0">
              <w:rPr>
                <w:rFonts w:ascii="Times New Roman" w:hAnsi="Times New Roman" w:cs="Times New Roman"/>
                <w:bCs/>
                <w:sz w:val="20"/>
                <w:szCs w:val="21"/>
              </w:rPr>
              <w:t>для</w:t>
            </w:r>
            <w:r w:rsidRPr="007964B0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 xml:space="preserve"> </w:t>
            </w:r>
            <w:r w:rsidRPr="007964B0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застрахованных лиц, получивших повреждение здоровья вследствие несчастных случаев на производстве и профессиональных заболеваний </w:t>
            </w:r>
            <w:r w:rsidRPr="007964B0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протезов нижних конечностей</w:t>
            </w:r>
          </w:p>
        </w:tc>
      </w:tr>
      <w:tr w:rsidR="007964B0" w:rsidRPr="007F5445" w:rsidTr="007964B0">
        <w:trPr>
          <w:trHeight w:val="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</w:t>
            </w:r>
            <w:proofErr w:type="gramEnd"/>
          </w:p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Правительства Российской Федерации от 30.12.2005г. №2347-р»).</w:t>
            </w:r>
            <w:proofErr w:type="gramEnd"/>
          </w:p>
          <w:p w:rsidR="007964B0" w:rsidRPr="007F5445" w:rsidRDefault="007964B0" w:rsidP="005545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полимерные композиты, кожа,  возможно применение вкладной гильзы из вспененных материалов.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 В зависимости от индивидуальных особенностей Получателя применяется крепление с использованием кожаных полуфабрикатов, вакуумного бандажа, текстильного бандажа, гильзы на бедро. Стопа энергосберегающая для Получателей 1, 2 уровня активности.</w:t>
            </w:r>
          </w:p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964B0" w:rsidRPr="007F5445" w:rsidTr="007964B0">
        <w:trPr>
          <w:trHeight w:val="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</w:t>
            </w:r>
            <w:proofErr w:type="gramEnd"/>
          </w:p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Правительства Российской Федерации от 30.12.2005г. №2347-р»).</w:t>
            </w:r>
            <w:proofErr w:type="gramEnd"/>
          </w:p>
          <w:p w:rsidR="007964B0" w:rsidRPr="007F5445" w:rsidRDefault="007964B0" w:rsidP="005545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термопласты, полимерные композиты, кожа, возможно применение вкладной гильзы из вспененных материалов.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 В зависимости от индивидуальных особенностей Получателя применяется крепление с использованием вакуумного бандажа, текстильного бандажа, гильзы на бедро. Стопа энергосберегающая для Получателей 2, 3 уровня активности.</w:t>
            </w:r>
          </w:p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964B0" w:rsidRPr="007F5445" w:rsidTr="007964B0">
        <w:trPr>
          <w:trHeight w:val="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964B0" w:rsidRPr="007F5445" w:rsidRDefault="007964B0" w:rsidP="005545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 без силиконового чехла.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полимерные композиты, термопласты.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 В зависимости от индивидуальных особенностей Получателя применяется крепление с использованием кожаных полуфабрикатов, вакуумного бандажа, текстильного бандажа, гильзы на бедро. Стопа энергосберегающая для Получателей 3, 4 уровня активности.</w:t>
            </w:r>
          </w:p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964B0" w:rsidRPr="007F5445" w:rsidTr="007964B0">
        <w:trPr>
          <w:trHeight w:val="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(наименование в соответствие с Приказом Министерства труда и социальной защиты РФ от 13.02.2018г. №86н «Об утверждении классификаций технических средств </w:t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lastRenderedPageBreak/>
              <w:t>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964B0" w:rsidRPr="007F5445" w:rsidRDefault="007964B0" w:rsidP="005545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Получателя: слоистый пластик, термопласты, полимерные композиты.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Полимерный чехол (лайнер) применяется в зависимости от индивидуальных особенностей Получателя - силиконовый,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мембрана и др. Крепление применяется в зависимости от индивидуальных особенностей Получателя и вида чехла – замок, вакуумное крепление, с использованием клапана. Стопа энергосберегающая для 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учателей 3,4 уровня активности.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</w:tr>
      <w:tr w:rsidR="007964B0" w:rsidRPr="007F5445" w:rsidTr="007964B0">
        <w:trPr>
          <w:trHeight w:val="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964B0" w:rsidRPr="007F5445" w:rsidRDefault="007964B0" w:rsidP="005545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полимерные композиты, кожа, возможно применение вкладной гильзы из вспененных материалов.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В зависимости от индивидуальных особенностей Получателя применяется крепление с использованием кожаных полуфабрикатов, гильзы на бедро. Стопа с голеностопным шарниром, подвижным в сагиттальной плоскости.</w:t>
            </w:r>
          </w:p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964B0" w:rsidRPr="007F5445" w:rsidTr="007964B0">
        <w:trPr>
          <w:trHeight w:val="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964B0" w:rsidRPr="007F5445" w:rsidRDefault="007964B0" w:rsidP="005545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(изделия):8-07-09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голени модульный. Постоянный.  Косметическая облицовка – листовой поролон, покрытие облицовки – чулки косметические. Приемная гильза индивидуальная, изготавливается в зависимости от индивидуальных особенностей Получателя: слоистый пластик, термопласты, полимерные композиты.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Полимерный чехол (лайнер) применяется в зависимости от индивидуальных особенностей Получателя - силиконовый,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мембрана и др. Крепление применяется в зависимости от индивидуальных особенностей Получателя и вида чехла - замок, вакуумное крепление, с использованием клапана. Стопа энергосберегающая для 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учателей 1,2 уровня активности.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964B0" w:rsidRPr="007F5445" w:rsidTr="007964B0">
        <w:trPr>
          <w:trHeight w:val="42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  <w:proofErr w:type="gramEnd"/>
          </w:p>
          <w:p w:rsidR="007964B0" w:rsidRPr="007F5445" w:rsidRDefault="007964B0" w:rsidP="005545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бедра модульный. Постоянный. Косметическая облицовка – листовой поролон, покрытие облицовки – чулки косметические. Приёмная гильза изготавливается в зависимости от индивидуальных особенностей Получателя: унифицированная, материал марля и полиамидный лак, или индивидуальная, материал слоистый пластик, термопласты, полимерные композиты, кожа.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Регулировочно-соединительное устройство 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весу Получателя. Крепление с использованием кожаных полуфабрикатов или поддерживающего бедренного бандажа. Коленный модуль применяется в зависимости от индивидуальных особенностей Получателя одноосный замковый, или полицентрический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беззамковый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или одноосный с механизмом торможения (механический). Стопа  энергосберегающая для Получателей 1,2  уровня активности.</w:t>
            </w:r>
          </w:p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Чехлы: хлопчатобумажный в количестве 8 шт., шерстяной в количес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 8 шт.– наличие обязательно.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964B0" w:rsidRPr="007F5445" w:rsidTr="007964B0">
        <w:trPr>
          <w:trHeight w:val="25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для купания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7964B0" w:rsidRPr="007F5445" w:rsidRDefault="007964B0" w:rsidP="005545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(изделия):8-07-04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 голени для купания. Без косметической облицовки. Приемная гильза индивидуальная. Материал индивидуальной постоянной гильзы - слоистый пластик, термопласты, полимерные композиты.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Регулировочно-соединительное устройство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водостойкое, соответствуют весу </w:t>
            </w: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Крепление за счет формы приемной гильзы с использованием вакуумного бандажа или бандажа - наколенника силиконового. Стопа монолитная водостойкая.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964B0" w:rsidRPr="007F5445" w:rsidTr="007964B0">
        <w:trPr>
          <w:trHeight w:val="31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pStyle w:val="2-11"/>
              <w:snapToGrid w:val="0"/>
              <w:spacing w:after="0"/>
              <w:ind w:hanging="51"/>
              <w:jc w:val="center"/>
              <w:rPr>
                <w:color w:val="000000"/>
                <w:sz w:val="20"/>
                <w:szCs w:val="20"/>
              </w:rPr>
            </w:pPr>
            <w:r w:rsidRPr="007F54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голени для купания</w:t>
            </w: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(наименование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      </w:r>
          </w:p>
          <w:p w:rsidR="007964B0" w:rsidRPr="007F5445" w:rsidRDefault="007964B0" w:rsidP="005545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вида технического средства реабилитации (изделия):8-07-04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Протез  голени для купания. Без косметической облицовки. Приемная гильза индивидуальная. Материал индивидуальной постоянной гильзы - слоистый пластик, термопласты, полимерные композиты. Регулировочно-соединительное устройство водостойкое, соответствуют весу Получателя. Полимерный чехол (лайнер) применяется в зависимости от индивидуальных особенностей Получателя - силиконовый, </w:t>
            </w:r>
            <w:proofErr w:type="spellStart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сополимерный</w:t>
            </w:r>
            <w:proofErr w:type="spellEnd"/>
            <w:r w:rsidRPr="007F5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мембрана и др. Крепление применяется в зависимости от индивидуальных особенностей Получателя и вида чехла - замок, вакуумное крепление, с использованием клапана и силиконового наколенника. Стопа монолитная водостойкая.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0" w:rsidRPr="007F5445" w:rsidRDefault="007964B0" w:rsidP="0055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44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</w:tbl>
    <w:p w:rsidR="007F5445" w:rsidRDefault="007F5445" w:rsidP="001B1AF5">
      <w:pPr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</w:p>
    <w:p w:rsidR="001B1AF5" w:rsidRDefault="001B1AF5" w:rsidP="001B1AF5">
      <w:pPr>
        <w:ind w:firstLine="709"/>
        <w:jc w:val="center"/>
      </w:pP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Требования к безопасности, экологической безопасности, качеству, к результатам работ</w:t>
      </w:r>
    </w:p>
    <w:p w:rsidR="001B1AF5" w:rsidRPr="008B690C" w:rsidRDefault="001B1AF5" w:rsidP="001B1AF5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690C">
        <w:rPr>
          <w:rFonts w:ascii="Times New Roman" w:hAnsi="Times New Roman" w:cs="Times New Roman"/>
          <w:color w:val="000000"/>
          <w:sz w:val="22"/>
          <w:szCs w:val="22"/>
        </w:rPr>
        <w:t xml:space="preserve">Протезы голени модульные, в том числе при недоразвитии, протезы бедра модульные, в том числе при врожденном недоразвитии, протезы голени немодульные, в том числе при врожденном недоразвитии, протезы при вычленении бедра модульные должны соответствовать ГОСТ </w:t>
      </w:r>
      <w:proofErr w:type="gramStart"/>
      <w:r w:rsidRPr="008B690C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8B690C">
        <w:rPr>
          <w:rFonts w:ascii="Times New Roman" w:hAnsi="Times New Roman" w:cs="Times New Roman"/>
          <w:color w:val="000000"/>
          <w:sz w:val="22"/>
          <w:szCs w:val="22"/>
        </w:rPr>
        <w:t xml:space="preserve"> 53869-2021 «Протезы нижних конечностей. Технические требования».</w:t>
      </w:r>
    </w:p>
    <w:p w:rsidR="001B1AF5" w:rsidRPr="008B690C" w:rsidRDefault="001B1AF5" w:rsidP="001B1AF5">
      <w:pPr>
        <w:widowControl/>
        <w:ind w:firstLine="567"/>
        <w:jc w:val="both"/>
        <w:textAlignment w:val="auto"/>
        <w:rPr>
          <w:rFonts w:ascii="Times New Roman" w:hAnsi="Times New Roman" w:cs="Times New Roman"/>
        </w:rPr>
      </w:pPr>
      <w:r w:rsidRPr="008B690C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Протезы нижних конечностей должны соответствовать </w:t>
      </w:r>
      <w:r w:rsidRPr="008B690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ГОСТ </w:t>
      </w:r>
      <w:proofErr w:type="gramStart"/>
      <w:r w:rsidRPr="008B690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Р</w:t>
      </w:r>
      <w:proofErr w:type="gramEnd"/>
      <w:r w:rsidRPr="008B690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 ИСО 22523-2007 «Протезы конечностей и </w:t>
      </w:r>
      <w:proofErr w:type="spellStart"/>
      <w:r w:rsidRPr="008B690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ортезы</w:t>
      </w:r>
      <w:proofErr w:type="spellEnd"/>
      <w:r w:rsidRPr="008B690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 наружные. Т</w:t>
      </w:r>
      <w:r w:rsidR="00656D6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ребования и методы испытаний» (</w:t>
      </w:r>
      <w:r w:rsidRPr="008B690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пункт 4.4.1, пункт 5.1, пункт 5.2).</w:t>
      </w:r>
    </w:p>
    <w:p w:rsidR="001B1AF5" w:rsidRPr="008B690C" w:rsidRDefault="00F455D0" w:rsidP="001B1AF5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55D0">
        <w:rPr>
          <w:rFonts w:ascii="Times New Roman" w:hAnsi="Times New Roman" w:cs="Times New Roman"/>
          <w:color w:val="000000"/>
          <w:sz w:val="22"/>
          <w:szCs w:val="22"/>
        </w:rPr>
        <w:t xml:space="preserve">Работы по изготовлению ПОИ должны выполняться в соответствие с требованиями ГОСТ </w:t>
      </w:r>
      <w:proofErr w:type="gramStart"/>
      <w:r w:rsidRPr="00F455D0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F455D0">
        <w:rPr>
          <w:rFonts w:ascii="Times New Roman" w:hAnsi="Times New Roman" w:cs="Times New Roman"/>
          <w:color w:val="000000"/>
          <w:sz w:val="22"/>
          <w:szCs w:val="22"/>
        </w:rPr>
        <w:t xml:space="preserve"> 53870-2021 «Реабилитационные мероприятия. Услуги по протезированию нижних конечностей. Состав, содержание и порядок предоставления услуг».</w:t>
      </w:r>
    </w:p>
    <w:p w:rsidR="001B1AF5" w:rsidRPr="008B690C" w:rsidRDefault="001B1AF5" w:rsidP="001B1AF5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690C">
        <w:rPr>
          <w:rFonts w:ascii="Times New Roman" w:hAnsi="Times New Roman" w:cs="Times New Roman"/>
          <w:sz w:val="22"/>
          <w:szCs w:val="22"/>
        </w:rPr>
        <w:t>Исполнитель обязан обеспечить примерку ПОИ, обучить Получате</w:t>
      </w:r>
      <w:bookmarkStart w:id="0" w:name="_GoBack"/>
      <w:bookmarkEnd w:id="0"/>
      <w:r w:rsidRPr="008B690C">
        <w:rPr>
          <w:rFonts w:ascii="Times New Roman" w:hAnsi="Times New Roman" w:cs="Times New Roman"/>
          <w:sz w:val="22"/>
          <w:szCs w:val="22"/>
        </w:rPr>
        <w:t xml:space="preserve">лей пользованию ПОИ в соответствии с требованиями </w:t>
      </w:r>
      <w:r w:rsidRPr="00057E67">
        <w:rPr>
          <w:rFonts w:ascii="Times New Roman" w:hAnsi="Times New Roman" w:cs="Times New Roman"/>
          <w:sz w:val="22"/>
          <w:szCs w:val="22"/>
        </w:rPr>
        <w:t xml:space="preserve">ГОСТ </w:t>
      </w:r>
      <w:proofErr w:type="gramStart"/>
      <w:r w:rsidRPr="00057E67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057E67">
        <w:rPr>
          <w:rFonts w:ascii="Times New Roman" w:hAnsi="Times New Roman" w:cs="Times New Roman"/>
          <w:sz w:val="22"/>
          <w:szCs w:val="22"/>
        </w:rPr>
        <w:t xml:space="preserve"> 59542-2021 </w:t>
      </w:r>
      <w:r w:rsidRPr="00057E67">
        <w:rPr>
          <w:rFonts w:ascii="Times New Roman" w:hAnsi="Times New Roman" w:cs="Times New Roman"/>
          <w:sz w:val="22"/>
        </w:rPr>
        <w:t>«Реабилитационные мероприятия. Услуги по обучению пользованию протезом нижней конечности»</w:t>
      </w:r>
      <w:r w:rsidRPr="008B690C">
        <w:rPr>
          <w:rFonts w:ascii="Times New Roman" w:hAnsi="Times New Roman" w:cs="Times New Roman"/>
          <w:sz w:val="22"/>
          <w:szCs w:val="22"/>
        </w:rPr>
        <w:t>.</w:t>
      </w:r>
    </w:p>
    <w:p w:rsidR="001B1AF5" w:rsidRPr="008B690C" w:rsidRDefault="001B1AF5" w:rsidP="001B1AF5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690C">
        <w:rPr>
          <w:rFonts w:ascii="Times New Roman" w:hAnsi="Times New Roman" w:cs="Times New Roman"/>
          <w:sz w:val="22"/>
          <w:szCs w:val="22"/>
        </w:rPr>
        <w:tab/>
        <w:t xml:space="preserve">Исполнитель должен изготавливать </w:t>
      </w:r>
      <w:r w:rsidR="00E30463">
        <w:rPr>
          <w:rFonts w:ascii="Times New Roman" w:hAnsi="Times New Roman" w:cs="Times New Roman"/>
          <w:sz w:val="22"/>
          <w:szCs w:val="22"/>
        </w:rPr>
        <w:t>ПОИ</w:t>
      </w:r>
      <w:r w:rsidRPr="008B690C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8B690C">
        <w:rPr>
          <w:rFonts w:ascii="Times New Roman" w:hAnsi="Times New Roman" w:cs="Times New Roman"/>
          <w:sz w:val="22"/>
          <w:szCs w:val="22"/>
        </w:rPr>
        <w:t>удовлетворяющие</w:t>
      </w:r>
      <w:proofErr w:type="gramEnd"/>
      <w:r w:rsidRPr="008B690C">
        <w:rPr>
          <w:rFonts w:ascii="Times New Roman" w:hAnsi="Times New Roman" w:cs="Times New Roman"/>
          <w:sz w:val="22"/>
          <w:szCs w:val="22"/>
        </w:rPr>
        <w:t xml:space="preserve"> следующим требованиям:</w:t>
      </w:r>
    </w:p>
    <w:p w:rsidR="001B1AF5" w:rsidRPr="008B690C" w:rsidRDefault="001B1AF5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8B690C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- не должно создаваться угрозы для жизни и здоровья </w:t>
      </w:r>
      <w:r w:rsidR="009B2982">
        <w:rPr>
          <w:rFonts w:ascii="Times New Roman" w:eastAsia="Times New Roman" w:hAnsi="Times New Roman" w:cs="Times New Roman"/>
          <w:kern w:val="0"/>
          <w:sz w:val="22"/>
          <w:szCs w:val="22"/>
        </w:rPr>
        <w:t>Получателя</w:t>
      </w:r>
      <w:r w:rsidRPr="008B690C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, окружающей среды, а так же использование </w:t>
      </w:r>
      <w:r w:rsidR="00E30463">
        <w:rPr>
          <w:rFonts w:ascii="Times New Roman" w:eastAsia="Times New Roman" w:hAnsi="Times New Roman" w:cs="Times New Roman"/>
          <w:kern w:val="0"/>
          <w:sz w:val="22"/>
          <w:szCs w:val="22"/>
        </w:rPr>
        <w:t>ПОИ</w:t>
      </w:r>
      <w:r w:rsidRPr="008B690C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не должно причинять вред имуществу </w:t>
      </w:r>
      <w:r w:rsidR="009B2982">
        <w:rPr>
          <w:rFonts w:ascii="Times New Roman" w:eastAsia="Times New Roman" w:hAnsi="Times New Roman" w:cs="Times New Roman"/>
          <w:kern w:val="0"/>
          <w:sz w:val="22"/>
          <w:szCs w:val="22"/>
        </w:rPr>
        <w:t>Получателя</w:t>
      </w:r>
      <w:r w:rsidRPr="008B690C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при его эксплуатации.</w:t>
      </w:r>
    </w:p>
    <w:p w:rsidR="001B1AF5" w:rsidRPr="008B690C" w:rsidRDefault="001B1AF5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8B690C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- </w:t>
      </w:r>
      <w:proofErr w:type="gramStart"/>
      <w:r w:rsidRPr="008B690C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материалы, применяемые для изготовления </w:t>
      </w:r>
      <w:r w:rsidR="00E30463">
        <w:rPr>
          <w:rFonts w:ascii="Times New Roman" w:eastAsia="Times New Roman" w:hAnsi="Times New Roman" w:cs="Times New Roman"/>
          <w:kern w:val="0"/>
          <w:sz w:val="22"/>
          <w:szCs w:val="22"/>
        </w:rPr>
        <w:t>ПОИ</w:t>
      </w:r>
      <w:proofErr w:type="gramEnd"/>
      <w:r w:rsidRPr="008B690C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, должны быть разрешены к применению на территории Российской Федерации, а также не должны содержать ядовитых (токсичных) компонентов, не воздействующей на цвет поверхности, с которой контактируют те или иные детали </w:t>
      </w:r>
      <w:r w:rsidR="00E30463">
        <w:rPr>
          <w:rFonts w:ascii="Times New Roman" w:eastAsia="Times New Roman" w:hAnsi="Times New Roman" w:cs="Times New Roman"/>
          <w:kern w:val="0"/>
          <w:sz w:val="22"/>
          <w:szCs w:val="22"/>
        </w:rPr>
        <w:t>ПОИ</w:t>
      </w:r>
      <w:r w:rsidRPr="008B690C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при его нормальной эксплуатации.</w:t>
      </w:r>
    </w:p>
    <w:p w:rsidR="001B1AF5" w:rsidRDefault="001B1AF5" w:rsidP="001B1AF5">
      <w:pPr>
        <w:widowControl/>
        <w:tabs>
          <w:tab w:val="left" w:pos="709"/>
          <w:tab w:val="left" w:pos="1134"/>
        </w:tabs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- </w:t>
      </w:r>
      <w:proofErr w:type="gramStart"/>
      <w:r w:rsidR="00E30463">
        <w:rPr>
          <w:rFonts w:ascii="Times New Roman" w:eastAsia="Times New Roman" w:hAnsi="Times New Roman" w:cs="Times New Roman"/>
          <w:kern w:val="0"/>
          <w:sz w:val="22"/>
          <w:szCs w:val="22"/>
        </w:rPr>
        <w:t>ПОИ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не должны</w:t>
      </w:r>
      <w:proofErr w:type="gramEnd"/>
      <w:r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B1AF5" w:rsidRDefault="001B1AF5" w:rsidP="001B1AF5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Требования к транспортированию, хранению, маркировке и упаковке</w:t>
      </w:r>
    </w:p>
    <w:p w:rsidR="001B1AF5" w:rsidRPr="007F0F9C" w:rsidRDefault="001B1AF5" w:rsidP="001B1AF5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>Маркировка и упаковка протезов голени модульных, в том числе при недоразвитии</w:t>
      </w:r>
      <w:r w:rsidR="00614B1E">
        <w:rPr>
          <w:rFonts w:ascii="Times New Roman" w:eastAsia="Calibri" w:hAnsi="Times New Roman" w:cs="Times New Roman"/>
          <w:color w:val="000000"/>
          <w:sz w:val="22"/>
          <w:szCs w:val="22"/>
        </w:rPr>
        <w:t>,</w:t>
      </w:r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протезов бедра модульных, в том числе при врожденном недоразвитии, протезов голени немодульных, в том числе при врожденном недоразвитии, протезов при вычленении бедра модульных должны осуществляться в соответствии. ГОСТ </w:t>
      </w:r>
      <w:proofErr w:type="gramStart"/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>Р</w:t>
      </w:r>
      <w:proofErr w:type="gramEnd"/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53869-2021 «Протезы нижних конечностей. Технические требования» (</w:t>
      </w:r>
      <w:r w:rsidR="00155BC6">
        <w:rPr>
          <w:rFonts w:ascii="Times New Roman" w:eastAsia="Calibri" w:hAnsi="Times New Roman" w:cs="Times New Roman"/>
          <w:color w:val="000000"/>
          <w:sz w:val="22"/>
          <w:szCs w:val="22"/>
        </w:rPr>
        <w:t>пункты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1</w:t>
      </w:r>
      <w:r w:rsidRPr="007F0F9C">
        <w:rPr>
          <w:rFonts w:ascii="Times New Roman" w:hAnsi="Times New Roman" w:cs="Times New Roman"/>
          <w:color w:val="000000"/>
          <w:sz w:val="22"/>
          <w:szCs w:val="22"/>
        </w:rPr>
        <w:t>1, 12</w:t>
      </w:r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>).</w:t>
      </w:r>
    </w:p>
    <w:p w:rsidR="001B1AF5" w:rsidRPr="007F0F9C" w:rsidRDefault="001B1AF5" w:rsidP="001B1AF5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Маркировка и упаковка протеза бедра для купания, протеза голени для купания должны  осуществляться в соответствии требованиям ГОСТ </w:t>
      </w:r>
      <w:proofErr w:type="gramStart"/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>Р</w:t>
      </w:r>
      <w:proofErr w:type="gramEnd"/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ИСО 22523-2007 «Протезы конечностей и </w:t>
      </w:r>
      <w:proofErr w:type="spellStart"/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>ортезы</w:t>
      </w:r>
      <w:proofErr w:type="spellEnd"/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наружные. Требования и методы испытаний» (п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ункт </w:t>
      </w:r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13.2, </w:t>
      </w:r>
      <w:r w:rsidR="00155BC6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пункт </w:t>
      </w:r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>14).</w:t>
      </w:r>
    </w:p>
    <w:p w:rsidR="001B1AF5" w:rsidRPr="007F0F9C" w:rsidRDefault="001B1AF5" w:rsidP="001B1AF5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F0F9C">
        <w:rPr>
          <w:rFonts w:ascii="Times New Roman" w:hAnsi="Times New Roman" w:cs="Times New Roman"/>
          <w:color w:val="000000"/>
          <w:sz w:val="22"/>
          <w:szCs w:val="22"/>
        </w:rPr>
        <w:t xml:space="preserve">Транспортировать изделие следует в соответствии с требованиями ГОСТ </w:t>
      </w:r>
      <w:proofErr w:type="gramStart"/>
      <w:r w:rsidRPr="007F0F9C">
        <w:rPr>
          <w:rFonts w:ascii="Times New Roman" w:hAnsi="Times New Roman" w:cs="Times New Roman"/>
          <w:color w:val="000000"/>
          <w:sz w:val="22"/>
          <w:szCs w:val="22"/>
        </w:rPr>
        <w:t>Р</w:t>
      </w:r>
      <w:proofErr w:type="gramEnd"/>
      <w:r w:rsidRPr="007F0F9C">
        <w:rPr>
          <w:rFonts w:ascii="Times New Roman" w:hAnsi="Times New Roman" w:cs="Times New Roman"/>
          <w:color w:val="000000"/>
          <w:sz w:val="22"/>
          <w:szCs w:val="22"/>
        </w:rPr>
        <w:t xml:space="preserve"> 50444-2020 «Приборы, аппараты и оборудование медицинские. Общие технические требования» (п</w:t>
      </w:r>
      <w:r>
        <w:rPr>
          <w:rFonts w:ascii="Times New Roman" w:hAnsi="Times New Roman" w:cs="Times New Roman"/>
          <w:color w:val="000000"/>
          <w:sz w:val="22"/>
          <w:szCs w:val="22"/>
        </w:rPr>
        <w:t>ункт</w:t>
      </w:r>
      <w:r w:rsidR="003A766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F0F9C">
        <w:rPr>
          <w:rFonts w:ascii="Times New Roman" w:hAnsi="Times New Roman" w:cs="Times New Roman"/>
          <w:color w:val="000000"/>
          <w:sz w:val="22"/>
          <w:szCs w:val="22"/>
        </w:rPr>
        <w:t>12.1).</w:t>
      </w:r>
    </w:p>
    <w:p w:rsidR="001B1AF5" w:rsidRPr="007F0F9C" w:rsidRDefault="001B1AF5" w:rsidP="001B1AF5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Хранение протезов нижних конечностей должны осуществляться в соответствии с требованиями ГОСТ </w:t>
      </w:r>
      <w:proofErr w:type="gramStart"/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>Р</w:t>
      </w:r>
      <w:proofErr w:type="gramEnd"/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50444-2020 «</w:t>
      </w:r>
      <w:r w:rsidR="00614B1E">
        <w:rPr>
          <w:rFonts w:ascii="Times New Roman" w:eastAsia="Calibri" w:hAnsi="Times New Roman" w:cs="Times New Roman"/>
          <w:color w:val="000000"/>
          <w:sz w:val="22"/>
          <w:szCs w:val="22"/>
        </w:rPr>
        <w:t>П</w:t>
      </w:r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>риборы, аппараты и оборудование медицинские. Общие технические требования» (п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ункт</w:t>
      </w:r>
      <w:r w:rsidRPr="007F0F9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12.2).</w:t>
      </w:r>
    </w:p>
    <w:p w:rsidR="001B1AF5" w:rsidRPr="00343669" w:rsidRDefault="001B1AF5" w:rsidP="001B1AF5">
      <w:pPr>
        <w:ind w:firstLine="567"/>
        <w:jc w:val="both"/>
        <w:rPr>
          <w:rFonts w:ascii="Times New Roman" w:hAnsi="Times New Roman" w:cs="Times New Roman"/>
          <w:b/>
          <w:color w:val="000000"/>
          <w:sz w:val="14"/>
          <w:szCs w:val="20"/>
        </w:rPr>
      </w:pPr>
    </w:p>
    <w:p w:rsidR="001B1AF5" w:rsidRPr="003158CC" w:rsidRDefault="001B1AF5" w:rsidP="001B1AF5">
      <w:pPr>
        <w:ind w:firstLine="567"/>
        <w:jc w:val="both"/>
        <w:rPr>
          <w:sz w:val="20"/>
          <w:szCs w:val="20"/>
        </w:rPr>
      </w:pPr>
      <w:r w:rsidRPr="003158CC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Справочно:</w:t>
      </w:r>
      <w:r w:rsidRPr="003158CC">
        <w:rPr>
          <w:rFonts w:ascii="Times New Roman" w:hAnsi="Times New Roman" w:cs="Times New Roman"/>
          <w:color w:val="000000"/>
          <w:sz w:val="20"/>
          <w:szCs w:val="20"/>
        </w:rPr>
        <w:t xml:space="preserve"> Заказчиком установлено, что протезы голени модульные, в том числе при недоразвитии, протезы бедра модульные, в том числе при врожденном недоразвитии, протезы голени немодульные, в том числе при врожденном недоразвитии, протезы при вычленении бедра модульные должны соответствовать ГОСТ </w:t>
      </w:r>
      <w:proofErr w:type="gramStart"/>
      <w:r w:rsidRPr="003158CC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3158CC">
        <w:rPr>
          <w:rFonts w:ascii="Times New Roman" w:hAnsi="Times New Roman" w:cs="Times New Roman"/>
          <w:color w:val="000000"/>
          <w:sz w:val="20"/>
          <w:szCs w:val="20"/>
        </w:rPr>
        <w:t xml:space="preserve"> 53869-2021 «Протезы нижних конечностей. Технические требования», п</w:t>
      </w:r>
      <w:r w:rsidRPr="003158CC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ротезы нижних конечностей должны соответствовать </w:t>
      </w:r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ГОСТ </w:t>
      </w:r>
      <w:proofErr w:type="gramStart"/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Р</w:t>
      </w:r>
      <w:proofErr w:type="gramEnd"/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ИСО 22523-2007 «Протезы конечностей и </w:t>
      </w:r>
      <w:proofErr w:type="spellStart"/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ортезы</w:t>
      </w:r>
      <w:proofErr w:type="spellEnd"/>
      <w:r w:rsidRPr="003158C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наружные. Требования и методы испытаний» (подпункт 4.4.1, пункт 5.1, пункт 5.2). </w:t>
      </w:r>
      <w:r w:rsidRPr="003158CC">
        <w:rPr>
          <w:rFonts w:ascii="Times New Roman" w:hAnsi="Times New Roman" w:cs="Times New Roman"/>
          <w:color w:val="000000"/>
          <w:sz w:val="20"/>
          <w:szCs w:val="20"/>
        </w:rPr>
        <w:t>Однако</w:t>
      </w:r>
      <w:proofErr w:type="gramStart"/>
      <w:r w:rsidRPr="003158CC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3158CC">
        <w:rPr>
          <w:rFonts w:ascii="Times New Roman" w:hAnsi="Times New Roman" w:cs="Times New Roman"/>
          <w:color w:val="000000"/>
          <w:sz w:val="20"/>
          <w:szCs w:val="20"/>
        </w:rPr>
        <w:t xml:space="preserve"> данные документы не определяют конкретные показатели и характеристики выполняемых работ. </w:t>
      </w:r>
      <w:proofErr w:type="gramStart"/>
      <w:r w:rsidRPr="003158CC">
        <w:rPr>
          <w:rFonts w:ascii="Times New Roman" w:hAnsi="Times New Roman" w:cs="Times New Roman"/>
          <w:color w:val="000000"/>
          <w:sz w:val="20"/>
          <w:szCs w:val="20"/>
        </w:rPr>
        <w:t>В связи с чем, заказчик, руководствуясь частью 2 статьи 33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установил показатели, позволяющие определить соответствие выполняемых работ требованиям заказчика, на основе анализа технических и качественных характеристик аналогичных выполняемых работ, имеющихся на рынке Российской Федерации и исходя из</w:t>
      </w:r>
      <w:proofErr w:type="gramEnd"/>
      <w:r w:rsidRPr="003158CC">
        <w:rPr>
          <w:rFonts w:ascii="Times New Roman" w:hAnsi="Times New Roman" w:cs="Times New Roman"/>
          <w:color w:val="000000"/>
          <w:sz w:val="20"/>
          <w:szCs w:val="20"/>
        </w:rPr>
        <w:t xml:space="preserve"> потребностей Заказчика, определенных на основе предоставленных </w:t>
      </w:r>
      <w:r w:rsidR="009B2982">
        <w:rPr>
          <w:rFonts w:ascii="Times New Roman" w:hAnsi="Times New Roman" w:cs="Times New Roman"/>
          <w:color w:val="000000"/>
          <w:sz w:val="20"/>
          <w:szCs w:val="20"/>
        </w:rPr>
        <w:t>Получателями</w:t>
      </w:r>
      <w:r w:rsidRPr="003158CC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индивидуальных программ реабилитации.</w:t>
      </w:r>
    </w:p>
    <w:p w:rsidR="001B1AF5" w:rsidRDefault="001B1AF5" w:rsidP="001B1AF5">
      <w:pPr>
        <w:pStyle w:val="a9"/>
        <w:spacing w:after="0" w:line="240" w:lineRule="auto"/>
        <w:ind w:firstLine="567"/>
        <w:rPr>
          <w:color w:val="000000"/>
          <w:sz w:val="22"/>
          <w:szCs w:val="22"/>
          <w:shd w:val="clear" w:color="auto" w:fill="FFFF00"/>
        </w:rPr>
      </w:pPr>
    </w:p>
    <w:p w:rsidR="001B1AF5" w:rsidRDefault="001B1AF5" w:rsidP="001B1AF5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Требования к гарантии качества выполненных работ, к гарантийному сроку и объёму предоставления гарантий качества, к гарантийному обслуживанию выполненных работ.</w:t>
      </w:r>
    </w:p>
    <w:p w:rsidR="001B1AF5" w:rsidRDefault="001B1AF5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Функциональные и качественные характеристики ПОИ  должны обеспечивать </w:t>
      </w:r>
      <w:r w:rsidR="009B2982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Получателю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возможность пользования изделием в течение установленного законодательством срока пользования данным видом протезно-ортопедического изделия, который составляет</w:t>
      </w:r>
      <w:r w:rsidR="006672AF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</w:t>
      </w:r>
      <w:proofErr w:type="gramStart"/>
      <w:r w:rsidR="006672AF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для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:</w:t>
      </w:r>
    </w:p>
    <w:p w:rsidR="00614B1E" w:rsidRDefault="00614B1E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голени модульного, в том числе при недоразвитии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2 (двух) лет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,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с момента подписания Получателем Акта сдачи-приемки работ;  </w:t>
      </w:r>
    </w:p>
    <w:p w:rsidR="00614B1E" w:rsidRDefault="00614B1E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бедра модульного, в том числе при врожденном недоразвитии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2 (двух) лет с заменой до трёх приемных гильз в пределах установленных сроков пользования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при первичном протезировании,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Получателем Акта сдачи-приемки работ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; </w:t>
      </w:r>
    </w:p>
    <w:p w:rsidR="00536D10" w:rsidRDefault="00536D10" w:rsidP="00536D10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бедра для купания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3 (трёх) лет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Получателем Акта сдачи-приемки работ; </w:t>
      </w:r>
    </w:p>
    <w:p w:rsidR="00614B1E" w:rsidRDefault="00614B1E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голени для купания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3 (трёх) лет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Получателем Акта сдачи-приемки работ; </w:t>
      </w:r>
    </w:p>
    <w:p w:rsidR="00614B1E" w:rsidRDefault="00614B1E" w:rsidP="001B1AF5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при вычленении бедра модульного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2 (двух) лет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</w:t>
      </w:r>
      <w:r w:rsidR="00343669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ателем Акта сдачи-приемки работ;</w:t>
      </w:r>
    </w:p>
    <w:p w:rsidR="00343669" w:rsidRDefault="00343669" w:rsidP="00343669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протеза голени немодульного, в том числе при врождённом недоразвитии с заменой до трёх приемных гильз в пределах установленных сроков пользования при первичном протезировании 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- 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не менее 2 (двух) лет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,</w:t>
      </w:r>
      <w:r w:rsidRPr="00614B1E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 xml:space="preserve"> с момента подписания Получателем Акта сдачи-приемки работ</w:t>
      </w:r>
      <w:r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2"/>
          <w:szCs w:val="22"/>
        </w:rPr>
        <w:t>.</w:t>
      </w:r>
    </w:p>
    <w:p w:rsidR="001B1AF5" w:rsidRDefault="001B1AF5" w:rsidP="001B1AF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B1AF5" w:rsidRDefault="001B1AF5" w:rsidP="001B1AF5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Гарантия качества результата работ распространяется на все составляющие результата работ и действительна</w:t>
      </w:r>
      <w:r w:rsidR="00536D1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36D10">
        <w:rPr>
          <w:rFonts w:ascii="Times New Roman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536D10" w:rsidRPr="00536D10" w:rsidRDefault="00536D10" w:rsidP="00536D10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голени модульного, в том числе при недоразвитии - 2 (два)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работ;</w:t>
      </w:r>
    </w:p>
    <w:p w:rsidR="00536D10" w:rsidRDefault="00536D10" w:rsidP="00536D10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 бедра модульного, в том числе при врожденном недоразвитии -  2 (два)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работ;</w:t>
      </w:r>
    </w:p>
    <w:p w:rsidR="00536D10" w:rsidRPr="00536D10" w:rsidRDefault="00536D10" w:rsidP="00536D10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бедра для купания - 3 (три)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работ;</w:t>
      </w:r>
    </w:p>
    <w:p w:rsidR="00536D10" w:rsidRDefault="00536D10" w:rsidP="00536D10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голени для купания - 3 (три)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работ;</w:t>
      </w:r>
    </w:p>
    <w:p w:rsidR="00343669" w:rsidRDefault="00536D10" w:rsidP="00343669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при вычленении бедра модульного - 2 (два)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Акта сдачи-приемки работ</w:t>
      </w:r>
      <w:r w:rsidR="00343669">
        <w:rPr>
          <w:rFonts w:ascii="Times New Roman" w:hAnsi="Times New Roman" w:cs="Times New Roman"/>
          <w:iCs/>
          <w:sz w:val="22"/>
          <w:szCs w:val="22"/>
        </w:rPr>
        <w:t>;</w:t>
      </w:r>
    </w:p>
    <w:p w:rsidR="00343669" w:rsidRDefault="00343669" w:rsidP="00343669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36D10">
        <w:rPr>
          <w:rFonts w:ascii="Times New Roman" w:hAnsi="Times New Roman" w:cs="Times New Roman"/>
          <w:iCs/>
          <w:sz w:val="22"/>
          <w:szCs w:val="22"/>
        </w:rPr>
        <w:t>- протеза голени немодульного, в том числе при врождённом недоразвитии - 2 (два) года с заменой до трёх приемных гильз в пределах установленных сроков пользования при первичном протезировании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536D10">
        <w:rPr>
          <w:rFonts w:ascii="Times New Roman" w:hAnsi="Times New Roman" w:cs="Times New Roman"/>
          <w:iCs/>
          <w:sz w:val="22"/>
          <w:szCs w:val="22"/>
        </w:rPr>
        <w:t xml:space="preserve"> с момента подписания Получателем Акта сдачи-приемки работ</w:t>
      </w:r>
      <w:r>
        <w:rPr>
          <w:rFonts w:ascii="Times New Roman" w:hAnsi="Times New Roman" w:cs="Times New Roman"/>
          <w:iCs/>
          <w:sz w:val="22"/>
          <w:szCs w:val="22"/>
        </w:rPr>
        <w:t>.</w:t>
      </w:r>
    </w:p>
    <w:p w:rsidR="00536D10" w:rsidRPr="00536D10" w:rsidRDefault="00536D10" w:rsidP="00536D10">
      <w:pPr>
        <w:tabs>
          <w:tab w:val="left" w:pos="142"/>
        </w:tabs>
        <w:spacing w:line="200" w:lineRule="atLeast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36D10" w:rsidRDefault="009B2982" w:rsidP="001B1AF5">
      <w:pPr>
        <w:widowControl/>
        <w:tabs>
          <w:tab w:val="left" w:pos="142"/>
        </w:tabs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</w:pPr>
      <w:r w:rsidRPr="009B2982"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t xml:space="preserve">При выдаче ПОИ Получателю предоставить </w:t>
      </w:r>
      <w:proofErr w:type="gramStart"/>
      <w:r w:rsidRPr="009B2982"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t>гарантийные талоны, дающие получателям право в период действия гарантийного срока осуществлять гарантийное обслуживание ПОИ</w:t>
      </w:r>
      <w:proofErr w:type="gramEnd"/>
      <w:r w:rsidRPr="009B2982"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t xml:space="preserve">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В случае обнаружения получателем в течение гарантийного срока ПОИ при его должной эксплуатации несоответствия качества ПОИ (выявления недостатков и дефектов, связанных с разработкой, материалами или качеством изготовления, в том числе скрытых недостатков и </w:t>
      </w:r>
      <w:r w:rsidRPr="009B2982"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lastRenderedPageBreak/>
        <w:t xml:space="preserve">дефектов), Исполнителем должен быть обеспечен гарантийный ремонт (если </w:t>
      </w:r>
      <w:proofErr w:type="gramStart"/>
      <w:r w:rsidRPr="009B2982"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t>ПОИ</w:t>
      </w:r>
      <w:proofErr w:type="gramEnd"/>
      <w:r w:rsidRPr="009B2982"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t xml:space="preserve"> подлежит гарантийному ремонту) либо осуществлена его замена на аналогичное ПОИ надлежащего качества. Исполнитель должен обеспечить возможность приемки ПОИ на гарантийный ремонт (если </w:t>
      </w:r>
      <w:proofErr w:type="gramStart"/>
      <w:r w:rsidRPr="009B2982"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t>ПОИ</w:t>
      </w:r>
      <w:proofErr w:type="gramEnd"/>
      <w:r w:rsidRPr="009B2982"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t xml:space="preserve"> подлежит гарантийному ремонту) или для его замены по фактическому месту проживания Получателя с последующей доставкой ПОИ до Получателя по указанному адресу с подъемом на этаж.</w:t>
      </w:r>
    </w:p>
    <w:p w:rsidR="001B1AF5" w:rsidRDefault="001B1AF5" w:rsidP="001B1AF5">
      <w:pPr>
        <w:widowControl/>
        <w:tabs>
          <w:tab w:val="left" w:pos="142"/>
        </w:tabs>
        <w:ind w:firstLine="567"/>
        <w:jc w:val="both"/>
        <w:textAlignment w:val="auto"/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pacing w:val="-4"/>
          <w:kern w:val="0"/>
          <w:sz w:val="22"/>
          <w:szCs w:val="22"/>
        </w:rPr>
        <w:t>Срок осуществления гарантийного ремонта изделий должен составлять не более 15 дней с момента обращения Получателя к Исполнителю.</w:t>
      </w:r>
    </w:p>
    <w:p w:rsidR="001B1AF5" w:rsidRDefault="001B1AF5" w:rsidP="001B1AF5">
      <w:pPr>
        <w:pStyle w:val="a9"/>
        <w:spacing w:after="0" w:line="240" w:lineRule="auto"/>
        <w:ind w:firstLine="567"/>
        <w:rPr>
          <w:color w:val="000000"/>
          <w:sz w:val="22"/>
          <w:szCs w:val="22"/>
        </w:rPr>
      </w:pPr>
    </w:p>
    <w:p w:rsidR="001B1AF5" w:rsidRPr="0000243D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243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Место выполнения работ:</w:t>
      </w:r>
      <w:r w:rsidRPr="0000243D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Федерация. </w:t>
      </w:r>
    </w:p>
    <w:p w:rsidR="001B1AF5" w:rsidRPr="0000243D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243D">
        <w:rPr>
          <w:rFonts w:ascii="Times New Roman" w:hAnsi="Times New Roman" w:cs="Times New Roman"/>
          <w:color w:val="000000"/>
          <w:sz w:val="22"/>
          <w:szCs w:val="22"/>
        </w:rPr>
        <w:t>Выполнение работ по обеспечению в 202</w:t>
      </w:r>
      <w:r w:rsidR="00A525A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году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Получателей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протезами нижних конечностей (далее так же – ПОИ) производится по направлениям Заказчика, выданным в 202</w:t>
      </w:r>
      <w:r w:rsidR="00A525A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году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Получателям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в соответствии с индивидуальной программой реабилитации. Доставка результатов работ (ПОИ) осуществляется до места ж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тельства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Получателя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в Забайкальском крае или по согласованию с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Получателем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00243D">
        <w:rPr>
          <w:rFonts w:ascii="Times New Roman" w:hAnsi="Times New Roman" w:cs="Times New Roman"/>
          <w:color w:val="000000"/>
          <w:sz w:val="22"/>
          <w:szCs w:val="22"/>
        </w:rPr>
        <w:t>ПОИ</w:t>
      </w:r>
      <w:proofErr w:type="gramEnd"/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выдаются по месту нахождения пункта  выдачи ПОИ, организованного Исполнителем в г. Чите  или  по месту нахождения пун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тов  выдачи ПОИ, организованных Исполнителем на территории Забайкальского края. </w:t>
      </w:r>
    </w:p>
    <w:p w:rsidR="001B1AF5" w:rsidRPr="0000243D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Исполнитель </w:t>
      </w:r>
      <w:proofErr w:type="gramStart"/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обязан </w:t>
      </w:r>
      <w:r w:rsidR="00A525A0">
        <w:rPr>
          <w:rFonts w:ascii="Times New Roman" w:hAnsi="Times New Roman" w:cs="Times New Roman"/>
          <w:color w:val="000000"/>
          <w:sz w:val="22"/>
          <w:szCs w:val="22"/>
        </w:rPr>
        <w:t>не позднее 13 января 2025 года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организовать стационарный пункт выдачи ПОИ</w:t>
      </w:r>
      <w:proofErr w:type="gramEnd"/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на территории г. Читы Забайкальского края. Исполнитель вправе также дополнительно организовать стациона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ные пункты выдачи ПОИ на территории Забайкальского края. </w:t>
      </w:r>
    </w:p>
    <w:p w:rsidR="001B1AF5" w:rsidRPr="0000243D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0243D">
        <w:rPr>
          <w:rFonts w:ascii="Times New Roman" w:hAnsi="Times New Roman" w:cs="Times New Roman"/>
          <w:color w:val="000000"/>
          <w:sz w:val="22"/>
          <w:szCs w:val="22"/>
        </w:rPr>
        <w:t>Организованные Исполнителем стационарные пункты выдачи ПОИ должны соответствовать требован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ям Приказа Министерства труда и социальной защиты РФ от 30 июля 2015 г. N 527н «Об утверждении Поря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ка обеспечения условий доступности для инвалидов объектов и предоставляемых услуг в сфере труда, занят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сти и социальной защиты населения, а также оказания им при этом необходимой помощи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1B1AF5" w:rsidRPr="0000243D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Выполнение работ по обеспечению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Получателей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ПОИ </w:t>
      </w:r>
      <w:proofErr w:type="gramStart"/>
      <w:r w:rsidRPr="0000243D">
        <w:rPr>
          <w:rFonts w:ascii="Times New Roman" w:hAnsi="Times New Roman" w:cs="Times New Roman"/>
          <w:color w:val="000000"/>
          <w:sz w:val="22"/>
          <w:szCs w:val="22"/>
        </w:rPr>
        <w:t>производится</w:t>
      </w:r>
      <w:proofErr w:type="gramEnd"/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по индивидуальным меркам, сн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тым с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Получателя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. Исполнитель обязан провести индивидуальный обмер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Получателя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по месту жительства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лучателя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в Забайкальском крае или по согласованию с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Получателем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  по месту нахождения пункта выдачи ПОИ, организованного Исполнителем в г. Чите Забайкальского края или по месту нахождения пунктов выдачи ПОИ, организованных Исполнителем на территории Забайкальского края. </w:t>
      </w:r>
    </w:p>
    <w:p w:rsidR="001B1AF5" w:rsidRPr="0000243D" w:rsidRDefault="001B1AF5" w:rsidP="001B1AF5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2"/>
        </w:rPr>
      </w:pP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При выдаче ПОИ Исполнитель обязан </w:t>
      </w:r>
      <w:r w:rsidRPr="0000243D">
        <w:rPr>
          <w:rFonts w:ascii="Times New Roman" w:hAnsi="Times New Roman" w:cs="Times New Roman"/>
          <w:sz w:val="22"/>
          <w:szCs w:val="22"/>
        </w:rPr>
        <w:t xml:space="preserve">обеспечить примерку ПОИ, обучить Получателей пользованию ПОИ в соответствии с требованиями ГОСТ </w:t>
      </w:r>
      <w:proofErr w:type="gramStart"/>
      <w:r w:rsidRPr="0000243D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00243D">
        <w:rPr>
          <w:rFonts w:ascii="Times New Roman" w:hAnsi="Times New Roman" w:cs="Times New Roman"/>
          <w:sz w:val="22"/>
          <w:szCs w:val="22"/>
        </w:rPr>
        <w:t xml:space="preserve"> 59542-2021 </w:t>
      </w:r>
      <w:r w:rsidRPr="0000243D">
        <w:rPr>
          <w:rFonts w:ascii="Times New Roman" w:hAnsi="Times New Roman" w:cs="Times New Roman"/>
          <w:sz w:val="22"/>
        </w:rPr>
        <w:t>«Реабилитационные мероприятия. Услуги по обучению пользованию протезом нижней конечности».</w:t>
      </w:r>
    </w:p>
    <w:p w:rsidR="001B1AF5" w:rsidRPr="0000243D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Исполнитель </w:t>
      </w:r>
      <w:proofErr w:type="gramStart"/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обязан предоставить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Получателям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право выбора способа получения ПОИ</w:t>
      </w:r>
      <w:proofErr w:type="gramEnd"/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(по месту ж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тельства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Получателя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по Забайкальскому краю или по месту нахождения  пункта выдачи ПОИ, организованного Исполнителем в г. Чите Забайкальского края, или  по месту нахождения пунктов  выдачи ПОИ, организова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ных Исполнителем на территории Забайкальского края).</w:t>
      </w:r>
    </w:p>
    <w:p w:rsidR="001B1AF5" w:rsidRPr="0000243D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243D">
        <w:rPr>
          <w:rFonts w:ascii="Times New Roman" w:hAnsi="Times New Roman" w:cs="Times New Roman"/>
          <w:color w:val="000000"/>
          <w:sz w:val="22"/>
          <w:szCs w:val="22"/>
        </w:rPr>
        <w:t>Исполнитель обязан:</w:t>
      </w:r>
    </w:p>
    <w:p w:rsidR="001B1AF5" w:rsidRPr="0000243D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- вести журнал телефонных звонков Получателям ПОИ из Реестра Получателей, с пометкой о времени звонка и выборе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Получателем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места и  времени  примерки, доставки ПОИ. По запросу Заказчика, в течение 2 (двух) дней с момента получения запроса, предоставить Заказчику Журнал телефонных звонков Получателям ПОИ.</w:t>
      </w:r>
    </w:p>
    <w:p w:rsidR="001B1AF5" w:rsidRPr="0000243D" w:rsidRDefault="001B1AF5" w:rsidP="001B1AF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- вести аудиозапись телефонных разговоров с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Получателями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 по вопросам получения ПОИ. По запросу Заказчика, в течение 2 (двух) дней с момента получения запроса, предоставить Заказчику аудиозаписи тел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фонных разговоров с </w:t>
      </w:r>
      <w:r w:rsidR="009B2982">
        <w:rPr>
          <w:rFonts w:ascii="Times New Roman" w:hAnsi="Times New Roman" w:cs="Times New Roman"/>
          <w:color w:val="000000"/>
          <w:sz w:val="22"/>
          <w:szCs w:val="22"/>
        </w:rPr>
        <w:t>Получателями</w:t>
      </w:r>
      <w:r w:rsidRPr="0000243D">
        <w:rPr>
          <w:rFonts w:ascii="Times New Roman" w:hAnsi="Times New Roman" w:cs="Times New Roman"/>
          <w:color w:val="000000"/>
          <w:sz w:val="22"/>
          <w:szCs w:val="22"/>
        </w:rPr>
        <w:t xml:space="preserve">  по вопросам получения ПОИ. </w:t>
      </w:r>
    </w:p>
    <w:p w:rsidR="001B1AF5" w:rsidRPr="0000243D" w:rsidRDefault="001B1AF5" w:rsidP="001B1AF5">
      <w:pPr>
        <w:shd w:val="clear" w:color="auto" w:fill="FFFFFF"/>
        <w:tabs>
          <w:tab w:val="left" w:pos="-324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243D">
        <w:rPr>
          <w:rFonts w:ascii="Times New Roman" w:hAnsi="Times New Roman" w:cs="Times New Roman"/>
          <w:color w:val="000000"/>
          <w:sz w:val="22"/>
          <w:szCs w:val="22"/>
        </w:rPr>
        <w:t>- фиксировать факт отказа получателя  от получения ПОИ.</w:t>
      </w:r>
    </w:p>
    <w:p w:rsidR="001B1AF5" w:rsidRDefault="001B1AF5" w:rsidP="001B1AF5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B1AF5" w:rsidRPr="00A525A0" w:rsidRDefault="001B1AF5" w:rsidP="001B1AF5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525A0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Срок исполнения контракта:</w:t>
      </w:r>
    </w:p>
    <w:p w:rsidR="00A525A0" w:rsidRDefault="00A525A0" w:rsidP="00A525A0">
      <w:pPr>
        <w:suppressAutoHyphens w:val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525A0">
        <w:rPr>
          <w:rFonts w:ascii="Times New Roman" w:hAnsi="Times New Roman" w:cs="Times New Roman"/>
          <w:b/>
          <w:bCs/>
          <w:sz w:val="22"/>
          <w:szCs w:val="22"/>
        </w:rPr>
        <w:t>Дата начала исполнения контракта: 01.01.2025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525A0">
        <w:rPr>
          <w:rFonts w:ascii="Times New Roman" w:hAnsi="Times New Roman" w:cs="Times New Roman"/>
          <w:b/>
          <w:bCs/>
          <w:sz w:val="22"/>
          <w:szCs w:val="22"/>
        </w:rPr>
        <w:t>г.</w:t>
      </w:r>
    </w:p>
    <w:p w:rsidR="00A525A0" w:rsidRPr="00A525A0" w:rsidRDefault="00A525A0" w:rsidP="00A525A0">
      <w:pPr>
        <w:suppressAutoHyphens w:val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525A0">
        <w:rPr>
          <w:rFonts w:ascii="Times New Roman" w:hAnsi="Times New Roman" w:cs="Times New Roman"/>
          <w:b/>
          <w:bCs/>
          <w:sz w:val="22"/>
          <w:szCs w:val="22"/>
        </w:rPr>
        <w:t>Дата окончания исполнения контракта: 28.11.2025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525A0">
        <w:rPr>
          <w:rFonts w:ascii="Times New Roman" w:hAnsi="Times New Roman" w:cs="Times New Roman"/>
          <w:b/>
          <w:bCs/>
          <w:sz w:val="22"/>
          <w:szCs w:val="22"/>
        </w:rPr>
        <w:t>г.</w:t>
      </w:r>
    </w:p>
    <w:p w:rsidR="00A525A0" w:rsidRPr="00A525A0" w:rsidRDefault="00A525A0" w:rsidP="00A525A0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525A0">
        <w:rPr>
          <w:rFonts w:ascii="Times New Roman" w:hAnsi="Times New Roman" w:cs="Times New Roman"/>
          <w:b/>
          <w:bCs/>
          <w:sz w:val="22"/>
          <w:szCs w:val="22"/>
        </w:rPr>
        <w:t xml:space="preserve">Срок выполнения работ: </w:t>
      </w:r>
      <w:r w:rsidRPr="00A525A0">
        <w:rPr>
          <w:rFonts w:ascii="Times New Roman" w:hAnsi="Times New Roman" w:cs="Times New Roman"/>
          <w:bCs/>
          <w:sz w:val="22"/>
          <w:szCs w:val="22"/>
        </w:rPr>
        <w:t xml:space="preserve">с 01.01.2025 года </w:t>
      </w:r>
      <w:r w:rsidRPr="00A525A0">
        <w:rPr>
          <w:rFonts w:ascii="Times New Roman" w:hAnsi="Times New Roman" w:cs="Times New Roman"/>
          <w:bCs/>
          <w:color w:val="000000"/>
          <w:sz w:val="22"/>
          <w:szCs w:val="22"/>
        </w:rPr>
        <w:t>по 31.10.2025 года.</w:t>
      </w:r>
    </w:p>
    <w:p w:rsidR="00A525A0" w:rsidRDefault="00A525A0" w:rsidP="00A525A0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525A0">
        <w:rPr>
          <w:rFonts w:ascii="Times New Roman" w:hAnsi="Times New Roman" w:cs="Times New Roman"/>
          <w:bCs/>
          <w:color w:val="000000"/>
          <w:sz w:val="22"/>
          <w:szCs w:val="22"/>
        </w:rPr>
        <w:t>Срок выполнения работ должен составлять не более 50 (пятидесяти) дней со дня получения Исполнителем Напра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вления от Получателя.</w:t>
      </w:r>
    </w:p>
    <w:p w:rsidR="00A525A0" w:rsidRPr="00A525A0" w:rsidRDefault="00A525A0" w:rsidP="00A525A0">
      <w:pPr>
        <w:keepLines/>
        <w:suppressLineNumbers/>
        <w:snapToGrid w:val="0"/>
        <w:ind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525A0">
        <w:rPr>
          <w:rFonts w:ascii="Times New Roman" w:hAnsi="Times New Roman" w:cs="Times New Roman"/>
          <w:bCs/>
          <w:color w:val="000000"/>
          <w:sz w:val="22"/>
          <w:szCs w:val="22"/>
        </w:rPr>
        <w:t>В случае получения от заказчика Реестра Получателей ПОИ, в течение 7 (семи) рабочих дней со дня получения данного Реестра, по телефону связаться со всеми Получателями, указанными в Реестре получателей ПОИ, и уведомить их о необходимости срочного получения ПОИ. Все телефонные разговоры с данными Получателями зафиксировать в журнале телефонных разговоров.</w:t>
      </w:r>
    </w:p>
    <w:p w:rsidR="001B1AF5" w:rsidRPr="00C03319" w:rsidRDefault="001B1AF5" w:rsidP="00A525A0">
      <w:pPr>
        <w:suppressAutoHyphens w:val="0"/>
        <w:ind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sectPr w:rsidR="001B1AF5" w:rsidRPr="00C03319" w:rsidSect="007F5445">
      <w:pgSz w:w="11905" w:h="16837"/>
      <w:pgMar w:top="709" w:right="565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40" w:rsidRDefault="00C97240">
      <w:r>
        <w:separator/>
      </w:r>
    </w:p>
  </w:endnote>
  <w:endnote w:type="continuationSeparator" w:id="0">
    <w:p w:rsidR="00C97240" w:rsidRDefault="00C9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40" w:rsidRDefault="00C97240">
      <w:r>
        <w:rPr>
          <w:color w:val="000000"/>
        </w:rPr>
        <w:separator/>
      </w:r>
    </w:p>
  </w:footnote>
  <w:footnote w:type="continuationSeparator" w:id="0">
    <w:p w:rsidR="00C97240" w:rsidRDefault="00C9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CBC"/>
    <w:multiLevelType w:val="multilevel"/>
    <w:tmpl w:val="B1605464"/>
    <w:styleLink w:val="RTFNum1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C79403E"/>
    <w:multiLevelType w:val="multilevel"/>
    <w:tmpl w:val="8D90578E"/>
    <w:styleLink w:val="RTFNum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1455FCA"/>
    <w:multiLevelType w:val="multilevel"/>
    <w:tmpl w:val="2BAE17E4"/>
    <w:styleLink w:val="RTFNum8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400119F"/>
    <w:multiLevelType w:val="multilevel"/>
    <w:tmpl w:val="48B84EA8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6824EA3"/>
    <w:multiLevelType w:val="multilevel"/>
    <w:tmpl w:val="18A84CE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386D7825"/>
    <w:multiLevelType w:val="multilevel"/>
    <w:tmpl w:val="D4F0A4E8"/>
    <w:styleLink w:val="RTFNum11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CCF19A6"/>
    <w:multiLevelType w:val="multilevel"/>
    <w:tmpl w:val="54F26160"/>
    <w:styleLink w:val="RTFNum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2894160"/>
    <w:multiLevelType w:val="multilevel"/>
    <w:tmpl w:val="899A47CA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F48531E"/>
    <w:multiLevelType w:val="multilevel"/>
    <w:tmpl w:val="C792B378"/>
    <w:styleLink w:val="RTFNum10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E39618F"/>
    <w:multiLevelType w:val="multilevel"/>
    <w:tmpl w:val="12A0F5A0"/>
    <w:styleLink w:val="RTFNum9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0C75771"/>
    <w:multiLevelType w:val="multilevel"/>
    <w:tmpl w:val="93048C96"/>
    <w:styleLink w:val="RTFNum6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C0A5328"/>
    <w:multiLevelType w:val="multilevel"/>
    <w:tmpl w:val="D6F4FF94"/>
    <w:styleLink w:val="RTFNum7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2370"/>
    <w:rsid w:val="0000289E"/>
    <w:rsid w:val="00010CAB"/>
    <w:rsid w:val="001205D0"/>
    <w:rsid w:val="00155BC6"/>
    <w:rsid w:val="001B1AF5"/>
    <w:rsid w:val="00210713"/>
    <w:rsid w:val="00272C00"/>
    <w:rsid w:val="00343669"/>
    <w:rsid w:val="003A7662"/>
    <w:rsid w:val="003D7C71"/>
    <w:rsid w:val="003E7F0C"/>
    <w:rsid w:val="004278DD"/>
    <w:rsid w:val="00536D10"/>
    <w:rsid w:val="00614B1E"/>
    <w:rsid w:val="00656D60"/>
    <w:rsid w:val="006672AF"/>
    <w:rsid w:val="006C3DBE"/>
    <w:rsid w:val="007964B0"/>
    <w:rsid w:val="007A27F7"/>
    <w:rsid w:val="007B19D4"/>
    <w:rsid w:val="007C623B"/>
    <w:rsid w:val="007D77F0"/>
    <w:rsid w:val="007F5445"/>
    <w:rsid w:val="008F0C11"/>
    <w:rsid w:val="009B2982"/>
    <w:rsid w:val="00A2569D"/>
    <w:rsid w:val="00A367CB"/>
    <w:rsid w:val="00A525A0"/>
    <w:rsid w:val="00C03319"/>
    <w:rsid w:val="00C131E2"/>
    <w:rsid w:val="00C8228B"/>
    <w:rsid w:val="00C97240"/>
    <w:rsid w:val="00D12D03"/>
    <w:rsid w:val="00DB6906"/>
    <w:rsid w:val="00E30463"/>
    <w:rsid w:val="00E963A6"/>
    <w:rsid w:val="00F455D0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5">
    <w:name w:val="heading 5"/>
    <w:basedOn w:val="a0"/>
    <w:next w:val="Textbody"/>
    <w:pPr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a"/>
    <w:next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a"/>
    <w:next w:val="a"/>
    <w:pPr>
      <w:widowControl/>
      <w:suppressAutoHyphens w:val="0"/>
      <w:spacing w:before="100" w:after="100"/>
      <w:textAlignment w:val="auto"/>
    </w:pPr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NumberingSymbols">
    <w:name w:val="Numbering Symbols"/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a8">
    <w:name w:val="Обычный (веб) Знак"/>
    <w:rPr>
      <w:sz w:val="24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11">
    <w:name w:val="RTF_Num 11 1"/>
    <w:rPr>
      <w:rFonts w:ascii="Symbol" w:eastAsia="Symbol" w:hAnsi="Symbol" w:cs="Symbol"/>
    </w:rPr>
  </w:style>
  <w:style w:type="paragraph" w:customStyle="1" w:styleId="2-11">
    <w:name w:val="содержание2-11"/>
    <w:basedOn w:val="a"/>
    <w:rsid w:val="001B1AF5"/>
    <w:pPr>
      <w:widowControl/>
      <w:spacing w:after="60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ng-binding">
    <w:name w:val="ng-binding"/>
    <w:rsid w:val="001B1AF5"/>
  </w:style>
  <w:style w:type="character" w:customStyle="1" w:styleId="10">
    <w:name w:val="Основной шрифт абзаца1"/>
    <w:rsid w:val="001B1AF5"/>
  </w:style>
  <w:style w:type="paragraph" w:styleId="a9">
    <w:name w:val="Body Text"/>
    <w:basedOn w:val="a"/>
    <w:link w:val="aa"/>
    <w:rsid w:val="001B1AF5"/>
    <w:pPr>
      <w:spacing w:after="120" w:line="100" w:lineRule="atLeast"/>
    </w:pPr>
    <w:rPr>
      <w:lang w:eastAsia="ar-SA"/>
    </w:rPr>
  </w:style>
  <w:style w:type="character" w:customStyle="1" w:styleId="aa">
    <w:name w:val="Основной текст Знак"/>
    <w:basedOn w:val="a1"/>
    <w:link w:val="a9"/>
    <w:rsid w:val="001B1AF5"/>
    <w:rPr>
      <w:lang w:eastAsia="ar-SA"/>
    </w:rPr>
  </w:style>
  <w:style w:type="character" w:customStyle="1" w:styleId="RTFNum121">
    <w:name w:val="RTF_Num 12 1"/>
    <w:rPr>
      <w:rFonts w:ascii="Symbol" w:eastAsia="Symbol" w:hAnsi="Symbol" w:cs="Symbol"/>
    </w:rPr>
  </w:style>
  <w:style w:type="numbering" w:customStyle="1" w:styleId="RTFNum2">
    <w:name w:val="RTF_Num 2"/>
    <w:basedOn w:val="a3"/>
    <w:pPr>
      <w:numPr>
        <w:numId w:val="1"/>
      </w:numPr>
    </w:pPr>
  </w:style>
  <w:style w:type="numbering" w:customStyle="1" w:styleId="RTFNum3">
    <w:name w:val="RTF_Num 3"/>
    <w:basedOn w:val="a3"/>
    <w:pPr>
      <w:numPr>
        <w:numId w:val="2"/>
      </w:numPr>
    </w:pPr>
  </w:style>
  <w:style w:type="numbering" w:customStyle="1" w:styleId="RTFNum4">
    <w:name w:val="RTF_Num 4"/>
    <w:basedOn w:val="a3"/>
    <w:pPr>
      <w:numPr>
        <w:numId w:val="3"/>
      </w:numPr>
    </w:pPr>
  </w:style>
  <w:style w:type="numbering" w:customStyle="1" w:styleId="RTFNum5">
    <w:name w:val="RTF_Num 5"/>
    <w:basedOn w:val="a3"/>
    <w:pPr>
      <w:numPr>
        <w:numId w:val="4"/>
      </w:numPr>
    </w:pPr>
  </w:style>
  <w:style w:type="numbering" w:customStyle="1" w:styleId="RTFNum6">
    <w:name w:val="RTF_Num 6"/>
    <w:basedOn w:val="a3"/>
    <w:pPr>
      <w:numPr>
        <w:numId w:val="5"/>
      </w:numPr>
    </w:pPr>
  </w:style>
  <w:style w:type="numbering" w:customStyle="1" w:styleId="RTFNum7">
    <w:name w:val="RTF_Num 7"/>
    <w:basedOn w:val="a3"/>
    <w:pPr>
      <w:numPr>
        <w:numId w:val="6"/>
      </w:numPr>
    </w:pPr>
  </w:style>
  <w:style w:type="numbering" w:customStyle="1" w:styleId="RTFNum8">
    <w:name w:val="RTF_Num 8"/>
    <w:basedOn w:val="a3"/>
    <w:pPr>
      <w:numPr>
        <w:numId w:val="7"/>
      </w:numPr>
    </w:pPr>
  </w:style>
  <w:style w:type="numbering" w:customStyle="1" w:styleId="RTFNum9">
    <w:name w:val="RTF_Num 9"/>
    <w:basedOn w:val="a3"/>
    <w:pPr>
      <w:numPr>
        <w:numId w:val="8"/>
      </w:numPr>
    </w:pPr>
  </w:style>
  <w:style w:type="numbering" w:customStyle="1" w:styleId="RTFNum10">
    <w:name w:val="RTF_Num 10"/>
    <w:basedOn w:val="a3"/>
    <w:pPr>
      <w:numPr>
        <w:numId w:val="9"/>
      </w:numPr>
    </w:pPr>
  </w:style>
  <w:style w:type="numbering" w:customStyle="1" w:styleId="RTFNum11">
    <w:name w:val="RTF_Num 11"/>
    <w:basedOn w:val="a3"/>
    <w:pPr>
      <w:numPr>
        <w:numId w:val="10"/>
      </w:numPr>
    </w:pPr>
  </w:style>
  <w:style w:type="numbering" w:customStyle="1" w:styleId="RTFNum12">
    <w:name w:val="RTF_Num 12"/>
    <w:basedOn w:val="a3"/>
    <w:pPr>
      <w:numPr>
        <w:numId w:val="11"/>
      </w:numPr>
    </w:pPr>
  </w:style>
  <w:style w:type="character" w:customStyle="1" w:styleId="layout">
    <w:name w:val="layout"/>
    <w:rsid w:val="008F0C11"/>
  </w:style>
  <w:style w:type="paragraph" w:styleId="ab">
    <w:name w:val="Balloon Text"/>
    <w:basedOn w:val="a"/>
    <w:link w:val="ac"/>
    <w:uiPriority w:val="99"/>
    <w:semiHidden/>
    <w:unhideWhenUsed/>
    <w:rsid w:val="00656D6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56D6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5">
    <w:name w:val="heading 5"/>
    <w:basedOn w:val="a0"/>
    <w:next w:val="Textbody"/>
    <w:pPr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a"/>
    <w:next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a"/>
    <w:next w:val="a"/>
    <w:pPr>
      <w:widowControl/>
      <w:suppressAutoHyphens w:val="0"/>
      <w:spacing w:before="100" w:after="100"/>
      <w:textAlignment w:val="auto"/>
    </w:pPr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NumberingSymbols">
    <w:name w:val="Numbering Symbols"/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a8">
    <w:name w:val="Обычный (веб) Знак"/>
    <w:rPr>
      <w:sz w:val="24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11">
    <w:name w:val="RTF_Num 11 1"/>
    <w:rPr>
      <w:rFonts w:ascii="Symbol" w:eastAsia="Symbol" w:hAnsi="Symbol" w:cs="Symbol"/>
    </w:rPr>
  </w:style>
  <w:style w:type="paragraph" w:customStyle="1" w:styleId="2-11">
    <w:name w:val="содержание2-11"/>
    <w:basedOn w:val="a"/>
    <w:rsid w:val="001B1AF5"/>
    <w:pPr>
      <w:widowControl/>
      <w:spacing w:after="60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ng-binding">
    <w:name w:val="ng-binding"/>
    <w:rsid w:val="001B1AF5"/>
  </w:style>
  <w:style w:type="character" w:customStyle="1" w:styleId="10">
    <w:name w:val="Основной шрифт абзаца1"/>
    <w:rsid w:val="001B1AF5"/>
  </w:style>
  <w:style w:type="paragraph" w:styleId="a9">
    <w:name w:val="Body Text"/>
    <w:basedOn w:val="a"/>
    <w:link w:val="aa"/>
    <w:rsid w:val="001B1AF5"/>
    <w:pPr>
      <w:spacing w:after="120" w:line="100" w:lineRule="atLeast"/>
    </w:pPr>
    <w:rPr>
      <w:lang w:eastAsia="ar-SA"/>
    </w:rPr>
  </w:style>
  <w:style w:type="character" w:customStyle="1" w:styleId="aa">
    <w:name w:val="Основной текст Знак"/>
    <w:basedOn w:val="a1"/>
    <w:link w:val="a9"/>
    <w:rsid w:val="001B1AF5"/>
    <w:rPr>
      <w:lang w:eastAsia="ar-SA"/>
    </w:rPr>
  </w:style>
  <w:style w:type="character" w:customStyle="1" w:styleId="RTFNum121">
    <w:name w:val="RTF_Num 12 1"/>
    <w:rPr>
      <w:rFonts w:ascii="Symbol" w:eastAsia="Symbol" w:hAnsi="Symbol" w:cs="Symbol"/>
    </w:rPr>
  </w:style>
  <w:style w:type="numbering" w:customStyle="1" w:styleId="RTFNum2">
    <w:name w:val="RTF_Num 2"/>
    <w:basedOn w:val="a3"/>
    <w:pPr>
      <w:numPr>
        <w:numId w:val="1"/>
      </w:numPr>
    </w:pPr>
  </w:style>
  <w:style w:type="numbering" w:customStyle="1" w:styleId="RTFNum3">
    <w:name w:val="RTF_Num 3"/>
    <w:basedOn w:val="a3"/>
    <w:pPr>
      <w:numPr>
        <w:numId w:val="2"/>
      </w:numPr>
    </w:pPr>
  </w:style>
  <w:style w:type="numbering" w:customStyle="1" w:styleId="RTFNum4">
    <w:name w:val="RTF_Num 4"/>
    <w:basedOn w:val="a3"/>
    <w:pPr>
      <w:numPr>
        <w:numId w:val="3"/>
      </w:numPr>
    </w:pPr>
  </w:style>
  <w:style w:type="numbering" w:customStyle="1" w:styleId="RTFNum5">
    <w:name w:val="RTF_Num 5"/>
    <w:basedOn w:val="a3"/>
    <w:pPr>
      <w:numPr>
        <w:numId w:val="4"/>
      </w:numPr>
    </w:pPr>
  </w:style>
  <w:style w:type="numbering" w:customStyle="1" w:styleId="RTFNum6">
    <w:name w:val="RTF_Num 6"/>
    <w:basedOn w:val="a3"/>
    <w:pPr>
      <w:numPr>
        <w:numId w:val="5"/>
      </w:numPr>
    </w:pPr>
  </w:style>
  <w:style w:type="numbering" w:customStyle="1" w:styleId="RTFNum7">
    <w:name w:val="RTF_Num 7"/>
    <w:basedOn w:val="a3"/>
    <w:pPr>
      <w:numPr>
        <w:numId w:val="6"/>
      </w:numPr>
    </w:pPr>
  </w:style>
  <w:style w:type="numbering" w:customStyle="1" w:styleId="RTFNum8">
    <w:name w:val="RTF_Num 8"/>
    <w:basedOn w:val="a3"/>
    <w:pPr>
      <w:numPr>
        <w:numId w:val="7"/>
      </w:numPr>
    </w:pPr>
  </w:style>
  <w:style w:type="numbering" w:customStyle="1" w:styleId="RTFNum9">
    <w:name w:val="RTF_Num 9"/>
    <w:basedOn w:val="a3"/>
    <w:pPr>
      <w:numPr>
        <w:numId w:val="8"/>
      </w:numPr>
    </w:pPr>
  </w:style>
  <w:style w:type="numbering" w:customStyle="1" w:styleId="RTFNum10">
    <w:name w:val="RTF_Num 10"/>
    <w:basedOn w:val="a3"/>
    <w:pPr>
      <w:numPr>
        <w:numId w:val="9"/>
      </w:numPr>
    </w:pPr>
  </w:style>
  <w:style w:type="numbering" w:customStyle="1" w:styleId="RTFNum11">
    <w:name w:val="RTF_Num 11"/>
    <w:basedOn w:val="a3"/>
    <w:pPr>
      <w:numPr>
        <w:numId w:val="10"/>
      </w:numPr>
    </w:pPr>
  </w:style>
  <w:style w:type="numbering" w:customStyle="1" w:styleId="RTFNum12">
    <w:name w:val="RTF_Num 12"/>
    <w:basedOn w:val="a3"/>
    <w:pPr>
      <w:numPr>
        <w:numId w:val="11"/>
      </w:numPr>
    </w:pPr>
  </w:style>
  <w:style w:type="character" w:customStyle="1" w:styleId="layout">
    <w:name w:val="layout"/>
    <w:rsid w:val="008F0C11"/>
  </w:style>
  <w:style w:type="paragraph" w:styleId="ab">
    <w:name w:val="Balloon Text"/>
    <w:basedOn w:val="a"/>
    <w:link w:val="ac"/>
    <w:uiPriority w:val="99"/>
    <w:semiHidden/>
    <w:unhideWhenUsed/>
    <w:rsid w:val="00656D6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56D6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86;&#1086;&#1079;&#1076;&#1083;&#1103;&#1075;&#1085;\&#1069;&#1083;&#1077;&#1082;&#1090;&#1088;&#1086;&#1085;&#1085;&#1099;&#1081;%20&#1072;&#1091;&#1082;&#1094;&#1080;&#1086;&#1085;%20&#1089;%2001.07.2019%20&#1075;,%20&#1074;&#1089;&#1082;&#1080;&#1077;%20&#1092;&#1088;&#1072;&#1079;&#1099;\&#1069;&#1083;&#1077;&#1082;&#1090;&#1088;&#1086;&#1085;&#1085;&#1099;&#1081;%20&#1072;&#1091;&#1082;&#1094;&#1080;&#1086;&#1085;%20%20&#1089;%2001.01.2022%20&#1075;&#1086;&#1076;&#1072;\&#1048;&#1079;&#1074;&#1077;&#1097;&#1077;&#1085;&#1080;&#1077;%20&#1086;%20&#1087;&#1088;&#1086;&#1074;&#1077;&#1076;&#1077;&#1085;&#1080;&#1080;%20&#1101;&#1083;&#1077;&#1082;&#1090;&#1088;&#1086;&#1085;&#1085;&#1086;&#1075;&#1086;%20&#1082;&#1086;&#1085;&#1082;&#1091;&#1088;&#1089;&#1072;%20&#1073;&#1077;&#1079;%20&#1086;&#1073;&#1098;&#1077;&#1084;&#1072;%2001.01.2022\&#1069;&#1083;&#1077;&#1082;&#1090;&#1088;&#1086;&#1085;&#1085;&#1099;&#1077;%20&#1076;&#1086;&#1082;&#1091;&#1084;&#1077;&#1085;&#1090;&#1099;,%20&#1087;&#1088;&#1080;&#1083;&#1072;&#1075;&#1072;&#1077;&#1084;&#1099;&#1077;%20&#1082;%20&#1080;&#1079;&#1074;&#1077;&#1097;&#1077;&#1085;&#1080;&#1102;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Электронные документы, прилагаемые к извещению%</Template>
  <TotalTime>112</TotalTime>
  <Pages>10</Pages>
  <Words>6912</Words>
  <Characters>39400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Скрипина Надежда Александровна</dc:creator>
  <cp:lastModifiedBy>Скрипина Надежда Александровна</cp:lastModifiedBy>
  <cp:revision>14</cp:revision>
  <cp:lastPrinted>2024-04-18T05:20:00Z</cp:lastPrinted>
  <dcterms:created xsi:type="dcterms:W3CDTF">2024-02-28T00:41:00Z</dcterms:created>
  <dcterms:modified xsi:type="dcterms:W3CDTF">2024-10-16T03:59:00Z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