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C2" w:rsidRDefault="006C65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8611C2" w:rsidRPr="001035CA" w:rsidRDefault="008611C2" w:rsidP="008611C2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</w:rPr>
        <w:t>Сроки выполнения работ:</w:t>
      </w:r>
      <w:r w:rsidRPr="001035CA">
        <w:t xml:space="preserve"> </w:t>
      </w:r>
      <w:r w:rsidRPr="00C74F2B"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 в течение 28 (Двадцати восьми) дней с даты обращения Получателя к Исполнителю с направлением, выданным Заказчиком.</w:t>
      </w:r>
      <w:proofErr w:type="gramEnd"/>
    </w:p>
    <w:p w:rsidR="008611C2" w:rsidRDefault="008611C2" w:rsidP="006072AB">
      <w:pPr>
        <w:tabs>
          <w:tab w:val="left" w:pos="993"/>
        </w:tabs>
        <w:jc w:val="both"/>
        <w:rPr>
          <w:lang w:eastAsia="ru-RU"/>
        </w:rPr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Pr="008611C2">
        <w:rPr>
          <w:lang w:eastAsia="ru-RU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16.12.2024г. Окончание срока действия Контракта не влечет прекращения неисполненных обязатель</w:t>
      </w:r>
      <w:proofErr w:type="gramStart"/>
      <w:r w:rsidRPr="008611C2">
        <w:rPr>
          <w:lang w:eastAsia="ru-RU"/>
        </w:rPr>
        <w:t>ств Ст</w:t>
      </w:r>
      <w:proofErr w:type="gramEnd"/>
      <w:r w:rsidRPr="008611C2">
        <w:rPr>
          <w:lang w:eastAsia="ru-RU"/>
        </w:rPr>
        <w:t>орон по Контракту Исполнителя.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Pr="00C74F2B"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Pr="00C74F2B">
        <w:t xml:space="preserve"> оказания им при этом необходимой помощи», место выполнения иных работ определяется Исполнителем самостоятельно.</w:t>
      </w:r>
    </w:p>
    <w:p w:rsidR="008611C2" w:rsidRPr="001035CA" w:rsidRDefault="008611C2" w:rsidP="008611C2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8611C2" w:rsidRDefault="008611C2" w:rsidP="008611C2">
      <w:pPr>
        <w:jc w:val="both"/>
        <w:rPr>
          <w:lang w:eastAsia="ru-RU"/>
        </w:rPr>
      </w:pPr>
      <w:proofErr w:type="gramStart"/>
      <w:r>
        <w:rPr>
          <w:lang w:eastAsia="ru-RU"/>
        </w:rPr>
        <w:t xml:space="preserve"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работ.  </w:t>
      </w:r>
      <w:proofErr w:type="gramEnd"/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 xml:space="preserve">В случае, если доставка Изделия Получателю осуществлялась службой доставки (почтовым отправлением), исполнитель в течение 5 рабочих дней со дня </w:t>
      </w:r>
      <w:proofErr w:type="gramStart"/>
      <w:r>
        <w:rPr>
          <w:lang w:eastAsia="ru-RU"/>
        </w:rPr>
        <w:t>получения подтверждения факта доставки Изделия</w:t>
      </w:r>
      <w:proofErr w:type="gramEnd"/>
      <w:r>
        <w:rPr>
          <w:lang w:eastAsia="ru-RU"/>
        </w:rPr>
        <w:t xml:space="preserve">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Осуществлять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видеофиксацию</w:t>
      </w:r>
      <w:proofErr w:type="spellEnd"/>
      <w:r>
        <w:rPr>
          <w:lang w:eastAsia="ru-RU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8611C2" w:rsidRDefault="008611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6C65C2" w:rsidRPr="00F20872" w:rsidRDefault="006C65C2" w:rsidP="006C65C2">
      <w:pPr>
        <w:ind w:right="-142"/>
        <w:jc w:val="both"/>
        <w:rPr>
          <w:bCs/>
        </w:rPr>
      </w:pPr>
      <w:r w:rsidRPr="00F20872">
        <w:rPr>
          <w:spacing w:val="-4"/>
        </w:rPr>
        <w:t xml:space="preserve">Работы </w:t>
      </w:r>
      <w:r>
        <w:rPr>
          <w:spacing w:val="-4"/>
        </w:rPr>
        <w:t>по изготовлению протез</w:t>
      </w:r>
      <w:r w:rsidR="006072AB">
        <w:rPr>
          <w:spacing w:val="-4"/>
        </w:rPr>
        <w:t>ов</w:t>
      </w:r>
      <w:r w:rsidRPr="00EE09FF">
        <w:rPr>
          <w:spacing w:val="-4"/>
        </w:rPr>
        <w:t xml:space="preserve"> нижних конечностей</w:t>
      </w:r>
      <w:r w:rsidRPr="00F20872">
        <w:rPr>
          <w:spacing w:val="-4"/>
        </w:rPr>
        <w:t>, соответствующ</w:t>
      </w:r>
      <w:r w:rsidR="006072AB">
        <w:rPr>
          <w:spacing w:val="-4"/>
        </w:rPr>
        <w:t>ие</w:t>
      </w:r>
      <w:r w:rsidRPr="00F20872">
        <w:rPr>
          <w:spacing w:val="-4"/>
        </w:rPr>
        <w:t xml:space="preserve"> следующим характеристикам:</w:t>
      </w:r>
    </w:p>
    <w:tbl>
      <w:tblPr>
        <w:tblpPr w:leftFromText="180" w:rightFromText="180" w:vertAnchor="text" w:horzAnchor="margin" w:tblpY="4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275"/>
      </w:tblGrid>
      <w:tr w:rsidR="006C65C2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Наименование изделия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Описание функциональных и технических характеристик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Кол-во,</w:t>
            </w:r>
          </w:p>
          <w:p w:rsidR="006C65C2" w:rsidRPr="000E29E3" w:rsidRDefault="006C65C2" w:rsidP="00DB6F4A">
            <w:pPr>
              <w:snapToGrid w:val="0"/>
              <w:jc w:val="center"/>
            </w:pPr>
            <w:r w:rsidRPr="000E29E3">
              <w:t>(шт.)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jc w:val="center"/>
            </w:pPr>
            <w:r w:rsidRPr="009401F2"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  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>Стопа из композиционных материалов (энергосберегающая).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Коленный модуль с механическим управлением для 1-4 уровня </w:t>
            </w:r>
            <w:r w:rsidRPr="009401F2">
              <w:lastRenderedPageBreak/>
              <w:t xml:space="preserve">двигательной активности. 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 xml:space="preserve">Крепление протеза с использованием замка для полимерного (силиконового) чехла. 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Отделочный косметический элемент - мягкая облицовка.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lastRenderedPageBreak/>
              <w:t>2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jc w:val="center"/>
            </w:pPr>
            <w:r w:rsidRPr="009401F2">
              <w:lastRenderedPageBreak/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bCs/>
              </w:rPr>
            </w:pPr>
            <w:r w:rsidRPr="009401F2"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Изготовлена одна пробная гильза.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Вкладной элемент - полимерный (силиконовый) чехол. Крепление протеза с использованием замка для полимерного (силиконового) чехла / вакуумное.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Коленный модуль многоосный с независимым пневматическим регулированием фазы сгибания и разгибания.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со средним уровнем энергосбережения из углепластика.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Покрытие облицовки - чулки косметические.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jc w:val="center"/>
            </w:pPr>
            <w:r w:rsidRPr="009401F2"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  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>Стопа из композиционных материалов (энергосберегающая).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Коленный модуль с механическим управлением для 1-4 уровня двигательной активности. 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 xml:space="preserve">Крепление протеза с использованием замка для полимерного (силиконового) чехла / вакуумное.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Отделочный косметический элемент - мягкая облицовка.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2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bCs/>
              </w:rPr>
            </w:pPr>
            <w:r w:rsidRPr="009401F2"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Приемная гильза изготовлена индивидуально, по слепку из слоистого пластика на основе акриловых смол. При необходимости изготовлена одна пробная гильза.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Коленный модуль замковый одноосный.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Модуль стопы шарнирный, с пяточным амортизатором регулируемой жесткости / одноосный монолитный (по уровню активности пациента).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Крепление поясное, с использованием кожаных полуфабрикатов / бедренного бандажа.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протеза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 xml:space="preserve">Протез бедра модульный, в том числе при врожденном </w:t>
            </w:r>
            <w:r w:rsidRPr="009401F2">
              <w:lastRenderedPageBreak/>
              <w:t>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bCs/>
              </w:rPr>
            </w:pPr>
            <w:r w:rsidRPr="009401F2">
              <w:lastRenderedPageBreak/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индивидуально, по слепку из </w:t>
            </w:r>
            <w:r w:rsidRPr="009401F2">
              <w:lastRenderedPageBreak/>
              <w:t xml:space="preserve">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Коленный модуль замковый одноосный.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одноосная монолитная.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Крепление поясное, с использованием кожаных полуфабрикатов / бедренного бандажа.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протеза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lastRenderedPageBreak/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jc w:val="center"/>
            </w:pPr>
            <w:r w:rsidRPr="009401F2">
              <w:lastRenderedPageBreak/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9401F2">
              <w:t xml:space="preserve">Протез бедра модульный, в том числе при врожденном недоразвитии состоит из приемной гильзы, стопы, коленного модуля, крепления.     </w:t>
            </w:r>
            <w:r w:rsidRPr="009401F2">
              <w:rPr>
                <w:b/>
              </w:rPr>
              <w:t xml:space="preserve"> 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Крепление протеза с использованием замка для полимерного (силиконового) чехла / вакуумное.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 xml:space="preserve">Стопа с </w:t>
            </w:r>
            <w:proofErr w:type="spellStart"/>
            <w:r w:rsidRPr="009401F2">
              <w:rPr>
                <w:color w:val="000000"/>
              </w:rPr>
              <w:t>голенооткидным</w:t>
            </w:r>
            <w:proofErr w:type="spellEnd"/>
            <w:r w:rsidRPr="009401F2">
              <w:rPr>
                <w:color w:val="000000"/>
              </w:rPr>
              <w:t xml:space="preserve"> шарниром, подвижным в сагиттальной плоскости, со сменным пяточным амортизатором / стопа с </w:t>
            </w:r>
            <w:proofErr w:type="spellStart"/>
            <w:r w:rsidRPr="009401F2">
              <w:rPr>
                <w:color w:val="000000"/>
              </w:rPr>
              <w:t>голенооткидным</w:t>
            </w:r>
            <w:proofErr w:type="spellEnd"/>
            <w:r w:rsidRPr="009401F2">
              <w:rPr>
                <w:color w:val="000000"/>
              </w:rPr>
              <w:t xml:space="preserve"> шарниром, подвижным в сагиттальной плоскости, с двухступенчатой регулируемой пациентом высотой каблука.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>Коленный шарнир полицентрический с «геометрическим замком» с зависимым механическим регулированием фаз сгибания-разгибания, материал титан / коленный шарнир одноосный с механизмом торможения с зависимым механическим регулированием фаз сгибания-разгибания, материал титан. Наличие поворотного устройства.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rPr>
                <w:color w:val="000000"/>
              </w:rPr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бедра для купания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Протез бедра для купания состоит из приемной гильзы, стопы, коленного модуля, крепления.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 xml:space="preserve">Стопа </w:t>
            </w:r>
            <w:proofErr w:type="spellStart"/>
            <w:r w:rsidRPr="009401F2">
              <w:rPr>
                <w:color w:val="000000"/>
              </w:rPr>
              <w:t>бесшарнирная</w:t>
            </w:r>
            <w:proofErr w:type="spellEnd"/>
            <w:r w:rsidRPr="009401F2">
              <w:rPr>
                <w:color w:val="000000"/>
              </w:rPr>
              <w:t>, влагозащищенная с противоскользящим покрытием.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>Коленный модуль с механическим управлением для 1-4 уровня двигательной активности, влагозащищенный.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 xml:space="preserve">Крепление протеза </w:t>
            </w:r>
            <w:r w:rsidRPr="009401F2">
              <w:rPr>
                <w:color w:val="000000"/>
              </w:rPr>
              <w:t>влагозащищенное</w:t>
            </w:r>
            <w:r w:rsidRPr="009401F2">
              <w:t xml:space="preserve"> вакуумное, возможно использование бандажа-наколенника</w:t>
            </w:r>
            <w:r w:rsidRPr="009401F2">
              <w:rPr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бедра для купания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both"/>
            </w:pPr>
            <w:r w:rsidRPr="009401F2">
              <w:t xml:space="preserve">Протез бедра для купания состоит из приемной гильзы, стопы, коленного модуля, крепления.  </w:t>
            </w:r>
          </w:p>
          <w:p w:rsidR="006072AB" w:rsidRPr="009401F2" w:rsidRDefault="006072AB" w:rsidP="006072AB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 xml:space="preserve">Стопа </w:t>
            </w:r>
            <w:proofErr w:type="spellStart"/>
            <w:r w:rsidRPr="009401F2">
              <w:rPr>
                <w:color w:val="000000"/>
              </w:rPr>
              <w:t>бесшарнирная</w:t>
            </w:r>
            <w:proofErr w:type="spellEnd"/>
            <w:r w:rsidRPr="009401F2">
              <w:rPr>
                <w:color w:val="000000"/>
              </w:rPr>
              <w:t>, влагозащищенная с противоскользящим покрытием.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>Коленный модуль с механическим управлением для 1-4 уровня двигательной активности, влагозащищенный.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Крепление протеза </w:t>
            </w:r>
            <w:r w:rsidRPr="009401F2">
              <w:rPr>
                <w:color w:val="000000"/>
              </w:rPr>
              <w:t>влагозащищенное</w:t>
            </w:r>
            <w:r w:rsidRPr="009401F2">
              <w:t xml:space="preserve"> с использованием замка для полимерного (силиконового) чехла</w:t>
            </w:r>
            <w:r w:rsidRPr="009401F2">
              <w:rPr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3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 с использованием шинно-кожаных полуфабрикатов.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поясное, с использованием шинно-кожаных полуфабрикатов.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Модуль стопы шарнирный, с пяточным амортизатором регулируемой жесткости / одноосный монолитный (по уровню активности пациента).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lastRenderedPageBreak/>
              <w:t>Изделие имеет формообразующую часть облицовки из листового поролона. Покрытие облицовки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lastRenderedPageBreak/>
              <w:t>2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lastRenderedPageBreak/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модульный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 с использованием шинно-кожаных полуфабрикатов.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Материал приемной гильзы с использованием шинно-кожаных полуфабрикатов.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поясное, с использованием шинно-кожаных полуфабрикатов.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Модуль стопы шарнирный, с пяточным амортизатором регулируемой жесткости.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Материал стопы - слоистый пластик и титановый сплав.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Имеется опорный вкладыш, увеличивающий упругость модуля.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модульный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Приемная гильза изготовлена индивидуально, по слепку из слоистого пластика на основе акриловых смол. Изготовлена одна пробная гильза.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Вкладной элемент полимерный (силиконовый) чехол.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с использованием замка для полимерного (силиконового) чехла / без замка. Допускается использование наколенника.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со средним уровнем энергосбережения. Материал стопы углепластик.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3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модульный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из композиционных материалов (энергосберегающая).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Вкладной элемент полимерный (силиконовый) чехол.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Крепление протеза с использованием замка для полимерного (силиконового) чехла /вакуумное.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-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3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модульный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из композиционных материалов (энергосберегающая).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lastRenderedPageBreak/>
              <w:t>Вкладной элемент полимерный (силиконовый) чехол.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с использованием замка для полимерного (силиконового) чехла. Допускается использование  бандажа-наколенника.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 облицовки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lastRenderedPageBreak/>
              <w:t>2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lastRenderedPageBreak/>
              <w:t>Протез голени модульный, в том числе при недоразвитии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модульный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Вкладным элементом является полимерный (силиконовый) чехол.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с использованием системы вакуумного крепления. Допускается использование наколенника.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Стопа с гидроцилиндром и регулятором жесткости в сагиттальной плоскости, с карбоновыми пластинами. Стопа имеет формообразующую оболочку телесного цвета с пальцами. Материал стопы - титан, карбон.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Изделие имеет формообразующую часть облицовки из листового поролона. Покрытием облицовки являются чулки косметические.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Регулировочно-соединительные устройства соответствуют весу Получателя.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для купания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для купания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>Приемная гильза изготовлена индивидуально, по слепку из слоистого пластика на основе акриловых смол.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bCs/>
              </w:rPr>
            </w:pPr>
            <w:r w:rsidRPr="009401F2">
              <w:rPr>
                <w:bCs/>
              </w:rPr>
              <w:t xml:space="preserve">Стопа </w:t>
            </w:r>
            <w:proofErr w:type="spellStart"/>
            <w:r w:rsidRPr="009401F2">
              <w:rPr>
                <w:bCs/>
              </w:rPr>
              <w:t>бесшарнирная</w:t>
            </w:r>
            <w:proofErr w:type="spellEnd"/>
            <w:r w:rsidRPr="009401F2">
              <w:rPr>
                <w:bCs/>
              </w:rPr>
              <w:t>, влагозащищенная, с противоскользящим покрытием.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rPr>
                <w:color w:val="000000"/>
              </w:rPr>
              <w:t>Крепление протеза влагозащищенное за счет замка для полимерного чехла и бандажа-наколенника силиконового.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4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для купания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для купания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для купания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rPr>
                <w:color w:val="000000"/>
              </w:rPr>
              <w:t>Приемная гильза изготовлена индивидуально, по слепку из слоистого пластика на основе акриловых смол.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  <w:rPr>
                <w:bCs/>
              </w:rPr>
            </w:pPr>
            <w:r w:rsidRPr="009401F2">
              <w:rPr>
                <w:bCs/>
              </w:rPr>
              <w:t xml:space="preserve">Стопа </w:t>
            </w:r>
            <w:proofErr w:type="spellStart"/>
            <w:r w:rsidRPr="009401F2">
              <w:rPr>
                <w:bCs/>
              </w:rPr>
              <w:t>бесшарнирная</w:t>
            </w:r>
            <w:proofErr w:type="spellEnd"/>
            <w:r w:rsidRPr="009401F2">
              <w:rPr>
                <w:bCs/>
              </w:rPr>
              <w:t>, влагозащищенная, с противоскользящим покрытием.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rPr>
                <w:color w:val="000000"/>
              </w:rPr>
              <w:t>Крепление протеза влагозащищенное за счет вакуумного клапана и бандажа-наколенника силиконового.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1</w:t>
            </w:r>
          </w:p>
        </w:tc>
      </w:tr>
      <w:tr w:rsidR="006072AB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snapToGrid w:val="0"/>
              <w:jc w:val="center"/>
            </w:pPr>
            <w:r w:rsidRPr="009401F2">
              <w:t>Протез голени для купания</w:t>
            </w:r>
          </w:p>
        </w:tc>
        <w:tc>
          <w:tcPr>
            <w:tcW w:w="7088" w:type="dxa"/>
            <w:shd w:val="clear" w:color="auto" w:fill="auto"/>
          </w:tcPr>
          <w:p w:rsidR="006072AB" w:rsidRPr="009401F2" w:rsidRDefault="006072AB" w:rsidP="006072AB">
            <w:pPr>
              <w:shd w:val="clear" w:color="auto" w:fill="FFFFFF"/>
              <w:jc w:val="both"/>
              <w:rPr>
                <w:color w:val="000000"/>
              </w:rPr>
            </w:pPr>
            <w:r w:rsidRPr="009401F2">
              <w:t>Протез голени для купания состоит из приемной гильзы, стопы, крепления.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Приемная гильза изготовлена индивидуально, по слепку из слоистого пластика на основе акриловых смол. Допускается вкладная гильза из вспененных материалов.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Протез без косметической облицовки и оболочки.</w:t>
            </w:r>
          </w:p>
          <w:p w:rsidR="006072AB" w:rsidRPr="009401F2" w:rsidRDefault="006072AB" w:rsidP="006072AB">
            <w:pPr>
              <w:shd w:val="clear" w:color="auto" w:fill="FFFFFF"/>
              <w:snapToGrid w:val="0"/>
              <w:jc w:val="both"/>
            </w:pPr>
            <w:r w:rsidRPr="009401F2">
              <w:t>Крепление протеза за счет формы приемной гильзы либо наколенником из различных материалов (</w:t>
            </w:r>
            <w:proofErr w:type="spellStart"/>
            <w:r w:rsidRPr="009401F2">
              <w:t>неопрен</w:t>
            </w:r>
            <w:proofErr w:type="spellEnd"/>
            <w:r w:rsidRPr="009401F2">
              <w:t>, силикон, гель) с учетом медицинских показаний.</w:t>
            </w:r>
          </w:p>
          <w:p w:rsidR="006072AB" w:rsidRPr="009401F2" w:rsidRDefault="006072AB" w:rsidP="006072AB">
            <w:pPr>
              <w:shd w:val="clear" w:color="auto" w:fill="FFFFFF"/>
              <w:jc w:val="both"/>
            </w:pPr>
            <w:r w:rsidRPr="009401F2">
              <w:t>Стопа со специальным рифлением на подошве.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72AB" w:rsidRPr="009401F2" w:rsidRDefault="006072AB" w:rsidP="006072AB">
            <w:pPr>
              <w:shd w:val="clear" w:color="auto" w:fill="FFFFFF"/>
              <w:autoSpaceDE w:val="0"/>
              <w:jc w:val="center"/>
              <w:rPr>
                <w:kern w:val="2"/>
                <w:lang w:eastAsia="ru-RU"/>
              </w:rPr>
            </w:pPr>
            <w:r w:rsidRPr="009401F2">
              <w:rPr>
                <w:kern w:val="2"/>
                <w:lang w:eastAsia="ru-RU"/>
              </w:rPr>
              <w:t>2</w:t>
            </w:r>
          </w:p>
        </w:tc>
      </w:tr>
    </w:tbl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lastRenderedPageBreak/>
        <w:t xml:space="preserve">Качество изготавливаемого Изделия соответствует государственным стандартам (ГОСТ), действующим на территории Российской Федерации, в том числе: 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9401F2">
        <w:t>цитотоксичность</w:t>
      </w:r>
      <w:proofErr w:type="spellEnd"/>
      <w:r w:rsidRPr="009401F2">
        <w:t xml:space="preserve"> методами </w:t>
      </w:r>
      <w:proofErr w:type="spellStart"/>
      <w:r w:rsidRPr="009401F2">
        <w:t>in</w:t>
      </w:r>
      <w:proofErr w:type="spellEnd"/>
      <w:r w:rsidRPr="009401F2">
        <w:t xml:space="preserve"> </w:t>
      </w:r>
      <w:proofErr w:type="spellStart"/>
      <w:r w:rsidRPr="009401F2">
        <w:t>vitro</w:t>
      </w:r>
      <w:proofErr w:type="spellEnd"/>
      <w:r w:rsidRPr="009401F2">
        <w:t>»;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 xml:space="preserve">-ГОСТ </w:t>
      </w:r>
      <w:proofErr w:type="gramStart"/>
      <w:r w:rsidRPr="009401F2">
        <w:t>Р</w:t>
      </w:r>
      <w:proofErr w:type="gramEnd"/>
      <w:r w:rsidRPr="009401F2"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 xml:space="preserve">-ГОСТ </w:t>
      </w:r>
      <w:proofErr w:type="gramStart"/>
      <w:r w:rsidRPr="009401F2">
        <w:t>Р</w:t>
      </w:r>
      <w:proofErr w:type="gramEnd"/>
      <w:r w:rsidRPr="009401F2">
        <w:t xml:space="preserve"> ИСО 22523-2007 «Протезы конечностей и </w:t>
      </w:r>
      <w:proofErr w:type="spellStart"/>
      <w:r w:rsidRPr="009401F2">
        <w:t>ортезы</w:t>
      </w:r>
      <w:proofErr w:type="spellEnd"/>
      <w:r w:rsidRPr="009401F2">
        <w:t xml:space="preserve"> наружные. Требования и методы испытаний»,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 xml:space="preserve">-ГОСТ </w:t>
      </w:r>
      <w:proofErr w:type="gramStart"/>
      <w:r w:rsidRPr="009401F2">
        <w:t>Р</w:t>
      </w:r>
      <w:proofErr w:type="gramEnd"/>
      <w:r w:rsidRPr="009401F2"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  <w:rPr>
          <w:rFonts w:eastAsia="Arial"/>
        </w:rPr>
      </w:pPr>
    </w:p>
    <w:p w:rsidR="006072AB" w:rsidRPr="009401F2" w:rsidRDefault="006072AB" w:rsidP="006072AB">
      <w:pPr>
        <w:shd w:val="clear" w:color="auto" w:fill="FFFFFF"/>
        <w:snapToGrid w:val="0"/>
        <w:ind w:firstLine="567"/>
        <w:jc w:val="both"/>
      </w:pPr>
      <w:r w:rsidRPr="009401F2"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6072AB" w:rsidRPr="009401F2" w:rsidRDefault="006072AB" w:rsidP="006072AB">
      <w:pPr>
        <w:shd w:val="clear" w:color="auto" w:fill="FFFFFF"/>
        <w:autoSpaceDE w:val="0"/>
        <w:ind w:firstLine="567"/>
        <w:jc w:val="both"/>
      </w:pPr>
    </w:p>
    <w:p w:rsidR="006072AB" w:rsidRPr="009401F2" w:rsidRDefault="006072AB" w:rsidP="006072AB">
      <w:pPr>
        <w:shd w:val="clear" w:color="auto" w:fill="FFFFFF"/>
        <w:tabs>
          <w:tab w:val="left" w:pos="0"/>
        </w:tabs>
        <w:ind w:firstLine="567"/>
        <w:jc w:val="both"/>
        <w:rPr>
          <w:bCs/>
        </w:rPr>
      </w:pPr>
      <w:r w:rsidRPr="009401F2">
        <w:rPr>
          <w:bCs/>
        </w:rPr>
        <w:t xml:space="preserve">Срок службы протеза бедра модульного, в том числе при врожденном недоразвитии, протеза голени модульного, в том числе при недоразвитии, составляет 24 (Двадцать четыре) месяца </w:t>
      </w:r>
      <w:r w:rsidRPr="009401F2">
        <w:t>со дня подписания Получателем Акта сдачи-приемки Работ Получателем</w:t>
      </w:r>
      <w:r w:rsidRPr="009401F2">
        <w:rPr>
          <w:bCs/>
        </w:rPr>
        <w:t>.</w:t>
      </w:r>
    </w:p>
    <w:p w:rsidR="006072AB" w:rsidRPr="009401F2" w:rsidRDefault="006072AB" w:rsidP="006072AB">
      <w:pPr>
        <w:shd w:val="clear" w:color="auto" w:fill="FFFFFF"/>
        <w:autoSpaceDE w:val="0"/>
        <w:ind w:firstLine="567"/>
        <w:jc w:val="both"/>
      </w:pPr>
      <w:r w:rsidRPr="009401F2">
        <w:rPr>
          <w:bCs/>
        </w:rPr>
        <w:t xml:space="preserve">Срок службы протеза бедра для купания, протеза голени для купания составляет 36 (Тридцать шесть) месяцев </w:t>
      </w:r>
      <w:r w:rsidRPr="009401F2">
        <w:t>со дня подписания Получателем Акта сдачи-приемки Работ Получателем</w:t>
      </w:r>
      <w:r w:rsidRPr="009401F2">
        <w:rPr>
          <w:bCs/>
        </w:rPr>
        <w:t>.</w:t>
      </w:r>
    </w:p>
    <w:p w:rsidR="006C65C2" w:rsidRDefault="006C65C2" w:rsidP="006C65C2">
      <w:pPr>
        <w:autoSpaceDE w:val="0"/>
        <w:ind w:firstLine="567"/>
        <w:jc w:val="both"/>
      </w:pPr>
      <w:bookmarkStart w:id="0" w:name="_GoBack"/>
      <w:bookmarkEnd w:id="0"/>
    </w:p>
    <w:p w:rsidR="00357E96" w:rsidRDefault="00357E96"/>
    <w:sectPr w:rsidR="0035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6072AB"/>
    <w:rsid w:val="006C65C2"/>
    <w:rsid w:val="008611C2"/>
    <w:rsid w:val="009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Наталья Леонидовна</dc:creator>
  <cp:keywords/>
  <dc:description/>
  <cp:lastModifiedBy>Кошелева Светлана Борисовна</cp:lastModifiedBy>
  <cp:revision>4</cp:revision>
  <dcterms:created xsi:type="dcterms:W3CDTF">2024-09-23T12:04:00Z</dcterms:created>
  <dcterms:modified xsi:type="dcterms:W3CDTF">2024-09-26T10:47:00Z</dcterms:modified>
</cp:coreProperties>
</file>