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4542A4" w:rsidRDefault="00C131AD" w:rsidP="00FE33DE">
      <w:pPr>
        <w:widowControl w:val="0"/>
        <w:ind w:left="10206"/>
        <w:jc w:val="center"/>
        <w:rPr>
          <w:szCs w:val="24"/>
        </w:rPr>
      </w:pPr>
      <w:r w:rsidRPr="004542A4">
        <w:rPr>
          <w:szCs w:val="24"/>
        </w:rPr>
        <w:t>Приложение № 1</w:t>
      </w:r>
    </w:p>
    <w:p w14:paraId="06000000" w14:textId="1634CD45" w:rsidR="0052416F" w:rsidRDefault="00C131AD" w:rsidP="00AE2BE3">
      <w:pPr>
        <w:widowControl w:val="0"/>
        <w:ind w:left="10206"/>
        <w:jc w:val="center"/>
        <w:rPr>
          <w:szCs w:val="24"/>
        </w:rPr>
      </w:pPr>
      <w:r w:rsidRPr="004542A4">
        <w:rPr>
          <w:szCs w:val="24"/>
        </w:rPr>
        <w:t>к извещени</w:t>
      </w:r>
      <w:r w:rsidR="008831B7" w:rsidRPr="004542A4">
        <w:rPr>
          <w:szCs w:val="24"/>
        </w:rPr>
        <w:t>ю</w:t>
      </w:r>
    </w:p>
    <w:p w14:paraId="0022E5E8" w14:textId="77777777" w:rsidR="00D53908" w:rsidRPr="004542A4" w:rsidRDefault="00D53908" w:rsidP="00AE2BE3">
      <w:pPr>
        <w:widowControl w:val="0"/>
        <w:ind w:left="10206"/>
        <w:jc w:val="center"/>
        <w:rPr>
          <w:b/>
          <w:szCs w:val="24"/>
        </w:rPr>
      </w:pPr>
    </w:p>
    <w:p w14:paraId="07000000" w14:textId="6F6BCD77" w:rsidR="0052416F" w:rsidRDefault="00D53908" w:rsidP="00F935B8">
      <w:pPr>
        <w:widowControl w:val="0"/>
        <w:jc w:val="center"/>
        <w:rPr>
          <w:b/>
          <w:szCs w:val="24"/>
        </w:rPr>
      </w:pPr>
      <w:r w:rsidRPr="00D53908">
        <w:rPr>
          <w:b/>
          <w:bCs/>
          <w:szCs w:val="24"/>
        </w:rPr>
        <w:t>Описание объекта закупки</w:t>
      </w:r>
    </w:p>
    <w:p w14:paraId="4612D19C" w14:textId="77777777" w:rsidR="005E5EAB" w:rsidRDefault="005E5EAB" w:rsidP="00F935B8">
      <w:pPr>
        <w:widowControl w:val="0"/>
        <w:jc w:val="center"/>
        <w:rPr>
          <w:b/>
          <w:szCs w:val="24"/>
        </w:rPr>
      </w:pPr>
    </w:p>
    <w:p w14:paraId="31864C52" w14:textId="77777777" w:rsidR="003F157F" w:rsidRPr="003F157F" w:rsidRDefault="003F157F" w:rsidP="003F157F">
      <w:pPr>
        <w:keepLines/>
        <w:widowControl w:val="0"/>
        <w:autoSpaceDE w:val="0"/>
        <w:autoSpaceDN w:val="0"/>
        <w:adjustRightInd w:val="0"/>
        <w:jc w:val="center"/>
        <w:rPr>
          <w:color w:val="auto"/>
          <w:szCs w:val="24"/>
          <w:lang w:eastAsia="ar-SA"/>
        </w:rPr>
      </w:pPr>
      <w:r w:rsidRPr="003F157F">
        <w:rPr>
          <w:b/>
          <w:color w:val="auto"/>
          <w:szCs w:val="24"/>
          <w:lang w:eastAsia="ar-SA"/>
        </w:rPr>
        <w:t>Выполнение работ по изготовлению протеза кисти активного (тягового), в том числе при вычленении и частичном вычленении кисти, протезов кисти косметических, в том числе при вычленении и частичном вычленении кисти (приобретение работ в пользу граждан в целях их социального обеспечения)</w:t>
      </w:r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1141"/>
        <w:gridCol w:w="2020"/>
        <w:gridCol w:w="6343"/>
        <w:gridCol w:w="1133"/>
        <w:gridCol w:w="710"/>
        <w:gridCol w:w="1416"/>
        <w:gridCol w:w="1496"/>
      </w:tblGrid>
      <w:tr w:rsidR="000A3D0E" w:rsidRPr="003F157F" w14:paraId="616B9579" w14:textId="77777777" w:rsidTr="000A3D0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C5A0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F157F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3F157F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4AD0" w14:textId="22CD5030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B587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EB77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Характеристики товаров, работ, услуг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EB9B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Кол-во (объем)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55B4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ABAE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Цена за ед. изм.</w:t>
            </w:r>
            <w:r w:rsidRPr="003F157F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3F157F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FFD7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Цена по позиции</w:t>
            </w:r>
            <w:r w:rsidRPr="003F157F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3F157F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0A3D0E" w:rsidRPr="003F157F" w14:paraId="4089356E" w14:textId="77777777" w:rsidTr="000A3D0E">
        <w:trPr>
          <w:trHeight w:val="4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2FE6" w14:textId="5716E60B" w:rsidR="003F157F" w:rsidRPr="003F157F" w:rsidRDefault="003F157F" w:rsidP="003F157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8ECE" w14:textId="77777777" w:rsidR="003F157F" w:rsidRPr="003F157F" w:rsidRDefault="003F157F" w:rsidP="003F157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32.50.22.121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D63B" w14:textId="77777777" w:rsidR="003F157F" w:rsidRPr="003F157F" w:rsidRDefault="003F157F" w:rsidP="009D1696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4"/>
              <w:gridCol w:w="2084"/>
              <w:gridCol w:w="1728"/>
            </w:tblGrid>
            <w:tr w:rsidR="003F157F" w:rsidRPr="002207E8" w14:paraId="7F244FF2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188AC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b/>
                      <w:szCs w:val="24"/>
                      <w:lang w:eastAsia="ar-SA"/>
                    </w:rPr>
                  </w:pPr>
                  <w:r w:rsidRPr="002207E8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5391B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b/>
                      <w:szCs w:val="24"/>
                      <w:lang w:eastAsia="ar-SA"/>
                    </w:rPr>
                  </w:pPr>
                  <w:r w:rsidRPr="002207E8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C812D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b/>
                      <w:szCs w:val="24"/>
                      <w:lang w:eastAsia="ar-SA"/>
                    </w:rPr>
                  </w:pPr>
                  <w:r w:rsidRPr="002207E8">
                    <w:rPr>
                      <w:b/>
                      <w:szCs w:val="24"/>
                      <w:lang w:eastAsia="ar-SA"/>
                    </w:rPr>
                    <w:t>Инструкция по заполнению характеристики в заявке</w:t>
                  </w:r>
                </w:p>
              </w:tc>
            </w:tr>
            <w:tr w:rsidR="003F157F" w:rsidRPr="002207E8" w14:paraId="66429662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BE463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Протез кисти активный (тяговый), в том числе при вычленении и частичном вычленении кисти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56BFA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 xml:space="preserve">Да 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C30A2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2207E8" w14:paraId="6343963E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01E25" w14:textId="77777777" w:rsidR="003F157F" w:rsidRPr="002207E8" w:rsidRDefault="003F157F" w:rsidP="00B46E09">
                  <w:pPr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textAlignment w:val="baseline"/>
                    <w:rPr>
                      <w:b/>
                      <w:szCs w:val="24"/>
                      <w:lang w:eastAsia="ar-SA"/>
                    </w:rPr>
                  </w:pPr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>Протез предназначен для расширения функциональных возможностей пациентов с усечениями и врожденными недоразвитиями на уровне кисти.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14489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 xml:space="preserve">Да 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F2677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2207E8" w14:paraId="601A5460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7C1C2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Calibri"/>
                      <w:szCs w:val="24"/>
                      <w:lang w:eastAsia="ar-SA"/>
                    </w:rPr>
                  </w:pPr>
                  <w:r w:rsidRPr="002207E8">
                    <w:rPr>
                      <w:rFonts w:eastAsia="Calibri"/>
                      <w:szCs w:val="24"/>
                      <w:lang w:eastAsia="ar-SA"/>
                    </w:rPr>
                    <w:t>Приемочная гильза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10546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из термопласта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40115" w14:textId="77777777" w:rsidR="003F157F" w:rsidRPr="002207E8" w:rsidRDefault="003F157F" w:rsidP="00B46E09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 xml:space="preserve">Значение </w:t>
                  </w:r>
                  <w:r w:rsidRPr="002207E8">
                    <w:rPr>
                      <w:szCs w:val="24"/>
                      <w:lang w:eastAsia="ar-SA"/>
                    </w:rPr>
                    <w:lastRenderedPageBreak/>
                    <w:t>характеристики не может изменяться участником закупки</w:t>
                  </w:r>
                </w:p>
              </w:tc>
            </w:tr>
            <w:tr w:rsidR="003F157F" w:rsidRPr="002207E8" w14:paraId="525EEE11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3D518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Calibri"/>
                      <w:szCs w:val="24"/>
                      <w:lang w:eastAsia="ar-SA"/>
                    </w:rPr>
                  </w:pPr>
                  <w:r w:rsidRPr="002207E8">
                    <w:rPr>
                      <w:rFonts w:eastAsia="Calibri"/>
                      <w:szCs w:val="24"/>
                      <w:lang w:eastAsia="ar-SA"/>
                    </w:rPr>
                    <w:lastRenderedPageBreak/>
                    <w:t>приемная гильза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2DAFB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из высокотемпературного силикона медицинского назначения с металлическими закладными элементами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779F7" w14:textId="77777777" w:rsidR="003F157F" w:rsidRPr="002207E8" w:rsidRDefault="003F157F" w:rsidP="00B46E09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2207E8" w14:paraId="58E456B8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FED67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Calibri"/>
                      <w:szCs w:val="24"/>
                      <w:lang w:eastAsia="ar-SA"/>
                    </w:rPr>
                  </w:pPr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>несущая гильза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33920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 xml:space="preserve">из композитных материалов на основе акриловых смол. Несущая гильза состоит из шарнирно соединительных гильз культей </w:t>
                  </w:r>
                  <w:proofErr w:type="spellStart"/>
                  <w:r w:rsidRPr="002207E8">
                    <w:rPr>
                      <w:szCs w:val="24"/>
                      <w:lang w:eastAsia="ar-SA"/>
                    </w:rPr>
                    <w:t>пястья</w:t>
                  </w:r>
                  <w:proofErr w:type="spellEnd"/>
                  <w:r w:rsidRPr="002207E8">
                    <w:rPr>
                      <w:szCs w:val="24"/>
                      <w:lang w:eastAsia="ar-SA"/>
                    </w:rPr>
                    <w:t xml:space="preserve"> и запястья. На несущей гильзе крепятся модули активных пальцев с тяговой системой управления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336A7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2207E8" w14:paraId="23672BE5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FB792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</w:pPr>
                  <w:proofErr w:type="spellStart"/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>Сгибательно</w:t>
                  </w:r>
                  <w:proofErr w:type="spellEnd"/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 xml:space="preserve">-разгибательные движения культи кисти обеспечивают </w:t>
                  </w:r>
                  <w:proofErr w:type="spellStart"/>
                  <w:proofErr w:type="gramStart"/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>схват</w:t>
                  </w:r>
                  <w:proofErr w:type="spellEnd"/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 xml:space="preserve"> и</w:t>
                  </w:r>
                  <w:proofErr w:type="gramEnd"/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 xml:space="preserve"> раскрытие пальцев протеза. В случае отсутствия большого пальца </w:t>
                  </w:r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lastRenderedPageBreak/>
                    <w:t xml:space="preserve">протез снабжается модулем первого пальца с двумя степенями </w:t>
                  </w:r>
                  <w:proofErr w:type="gramStart"/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>подвижности-активное</w:t>
                  </w:r>
                  <w:proofErr w:type="gramEnd"/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 xml:space="preserve"> сгибание и пассивное регулируемое противопоставление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23702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lastRenderedPageBreak/>
                    <w:t xml:space="preserve">Да 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4E879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2207E8" w14:paraId="50FD5D89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BC409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</w:pPr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lastRenderedPageBreak/>
                    <w:t>Искусственные пальцы покрыты силиконовыми косметическими оболочками.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C70EE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4FDE8" w14:textId="77777777" w:rsidR="003F157F" w:rsidRPr="002207E8" w:rsidRDefault="003F157F" w:rsidP="00B46E09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2207E8" w14:paraId="3D5A2E4A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A29B6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</w:pPr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>Материал пробной приемной гильзы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EF5E5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термопласт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CC36AC" w14:textId="77777777" w:rsidR="003F157F" w:rsidRPr="002207E8" w:rsidRDefault="003F157F" w:rsidP="00B46E09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2207E8" w14:paraId="37808C7F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EA380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</w:pPr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>Материал постоянной приемной гильзы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C33E71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высокотемпературный силикон медицинского назначения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3F3FD5" w14:textId="77777777" w:rsidR="003F157F" w:rsidRPr="002207E8" w:rsidRDefault="003F157F" w:rsidP="00B46E09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2207E8" w14:paraId="0294E5E4" w14:textId="77777777" w:rsidTr="000A3D0E"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AADDD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</w:pPr>
                  <w:r w:rsidRPr="002207E8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t>Материал модуля пальцев</w:t>
                  </w:r>
                </w:p>
              </w:tc>
              <w:tc>
                <w:tcPr>
                  <w:tcW w:w="1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CED4D" w14:textId="77777777" w:rsidR="003F157F" w:rsidRPr="002207E8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термопласт, нейлон, полиуретан, силикон.</w:t>
                  </w:r>
                </w:p>
              </w:tc>
              <w:tc>
                <w:tcPr>
                  <w:tcW w:w="1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859AB" w14:textId="77777777" w:rsidR="003F157F" w:rsidRPr="002207E8" w:rsidRDefault="003F157F" w:rsidP="00B46E09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2207E8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0F9A1432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C4F" w14:textId="77777777" w:rsidR="003F157F" w:rsidRPr="003F157F" w:rsidRDefault="003F157F" w:rsidP="000A3D0E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BABD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EE9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370 316,67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89DA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370 316,67</w:t>
            </w:r>
          </w:p>
        </w:tc>
      </w:tr>
      <w:tr w:rsidR="000A3D0E" w:rsidRPr="003F157F" w14:paraId="0813152C" w14:textId="77777777" w:rsidTr="000A3D0E">
        <w:trPr>
          <w:trHeight w:val="4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081" w14:textId="77777777" w:rsidR="003F157F" w:rsidRPr="003F157F" w:rsidRDefault="003F157F" w:rsidP="003F157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9302" w14:textId="77777777" w:rsidR="003F157F" w:rsidRPr="003F157F" w:rsidRDefault="003F157F" w:rsidP="003F157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32.50.22.121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0FD9" w14:textId="77777777" w:rsidR="003F157F" w:rsidRPr="003F157F" w:rsidRDefault="003F157F" w:rsidP="009D1696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 xml:space="preserve">Протез кисти косметический, в том числе при </w:t>
            </w:r>
            <w:r w:rsidRPr="003F157F">
              <w:rPr>
                <w:sz w:val="24"/>
                <w:szCs w:val="24"/>
                <w:lang w:eastAsia="ar-SA"/>
              </w:rPr>
              <w:lastRenderedPageBreak/>
              <w:t>вычленении и частичном вычленении кисти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1511"/>
              <w:gridCol w:w="1562"/>
            </w:tblGrid>
            <w:tr w:rsidR="003F157F" w:rsidRPr="00596039" w14:paraId="6DFDDEBA" w14:textId="77777777" w:rsidTr="000A3D0E">
              <w:tc>
                <w:tcPr>
                  <w:tcW w:w="2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5D033" w14:textId="77777777" w:rsidR="003F157F" w:rsidRPr="00596039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b/>
                      <w:szCs w:val="24"/>
                      <w:lang w:eastAsia="ar-SA"/>
                    </w:rPr>
                  </w:pPr>
                  <w:r w:rsidRPr="00596039">
                    <w:rPr>
                      <w:b/>
                      <w:szCs w:val="24"/>
                      <w:lang w:eastAsia="ar-SA"/>
                    </w:rPr>
                    <w:lastRenderedPageBreak/>
                    <w:t>Наименование характеристики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11530" w14:textId="77777777" w:rsidR="003F157F" w:rsidRPr="00596039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b/>
                      <w:szCs w:val="24"/>
                      <w:lang w:eastAsia="ar-SA"/>
                    </w:rPr>
                  </w:pPr>
                  <w:r w:rsidRPr="00596039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6920E" w14:textId="77777777" w:rsidR="003F157F" w:rsidRPr="00596039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Overlap/>
                    <w:jc w:val="both"/>
                    <w:rPr>
                      <w:b/>
                      <w:szCs w:val="24"/>
                      <w:lang w:eastAsia="ar-SA"/>
                    </w:rPr>
                  </w:pPr>
                  <w:r w:rsidRPr="00596039">
                    <w:rPr>
                      <w:b/>
                      <w:szCs w:val="24"/>
                      <w:lang w:eastAsia="ar-SA"/>
                    </w:rPr>
                    <w:t xml:space="preserve">Инструкция по заполнению </w:t>
                  </w:r>
                  <w:r w:rsidRPr="00596039">
                    <w:rPr>
                      <w:b/>
                      <w:szCs w:val="24"/>
                      <w:lang w:eastAsia="ar-SA"/>
                    </w:rPr>
                    <w:lastRenderedPageBreak/>
                    <w:t>характеристики в заявке</w:t>
                  </w:r>
                </w:p>
              </w:tc>
            </w:tr>
            <w:tr w:rsidR="003F157F" w:rsidRPr="00596039" w14:paraId="68A68785" w14:textId="77777777" w:rsidTr="000A3D0E">
              <w:tc>
                <w:tcPr>
                  <w:tcW w:w="2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675E3" w14:textId="77777777" w:rsidR="003F157F" w:rsidRPr="00596039" w:rsidRDefault="003F157F" w:rsidP="00B46E09">
                  <w:pPr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textAlignment w:val="baseline"/>
                    <w:rPr>
                      <w:b/>
                      <w:szCs w:val="24"/>
                      <w:lang w:eastAsia="ar-SA"/>
                    </w:rPr>
                  </w:pPr>
                  <w:r w:rsidRPr="00596039">
                    <w:rPr>
                      <w:rFonts w:eastAsia="Arial Unicode MS"/>
                      <w:kern w:val="3"/>
                      <w:szCs w:val="24"/>
                      <w:lang w:eastAsia="zh-CN" w:bidi="hi-IN"/>
                    </w:rPr>
                    <w:lastRenderedPageBreak/>
                    <w:t>Протез кисти косметический, в том числе при вычленении кисти</w:t>
                  </w:r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56A17" w14:textId="77777777" w:rsidR="003F157F" w:rsidRPr="00596039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596039">
                    <w:rPr>
                      <w:szCs w:val="24"/>
                      <w:lang w:eastAsia="ar-SA"/>
                    </w:rPr>
                    <w:t xml:space="preserve">Да </w:t>
                  </w:r>
                </w:p>
              </w:tc>
              <w:tc>
                <w:tcPr>
                  <w:tcW w:w="1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3F262" w14:textId="77777777" w:rsidR="003F157F" w:rsidRPr="00596039" w:rsidRDefault="003F157F" w:rsidP="00B46E09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596039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3F157F" w:rsidRPr="00596039" w14:paraId="37AC7BD8" w14:textId="77777777" w:rsidTr="000A3D0E">
              <w:tc>
                <w:tcPr>
                  <w:tcW w:w="2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9E510" w14:textId="77777777" w:rsidR="003F157F" w:rsidRPr="00596039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ind w:firstLine="5"/>
                    <w:suppressOverlap/>
                    <w:jc w:val="both"/>
                    <w:rPr>
                      <w:rFonts w:eastAsia="Calibri"/>
                      <w:szCs w:val="24"/>
                      <w:lang w:eastAsia="ar-SA"/>
                    </w:rPr>
                  </w:pPr>
                  <w:proofErr w:type="gramStart"/>
                  <w:r w:rsidRPr="00596039">
                    <w:rPr>
                      <w:rFonts w:eastAsia="Calibri"/>
                      <w:szCs w:val="24"/>
                      <w:lang w:eastAsia="ar-SA"/>
                    </w:rPr>
                    <w:t>Силиконовая косметическая оболочка индивидуального изготовления по гипсовому слепку или силиконовому оттиску со здоровой кисти, телесного цвета, и с имитацией кожного рисунка, армированная нейлоновой сеткой, с внутренней формообразующей из вспененного полимера, с металлической арматурой в искусственных пальцах, крепление - застежка «молния».</w:t>
                  </w:r>
                  <w:proofErr w:type="gramEnd"/>
                </w:p>
              </w:tc>
              <w:tc>
                <w:tcPr>
                  <w:tcW w:w="1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5784C" w14:textId="77777777" w:rsidR="003F157F" w:rsidRPr="00596039" w:rsidRDefault="003F157F" w:rsidP="00B46E0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autoSpaceDE w:val="0"/>
                    <w:autoSpaceDN w:val="0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596039">
                    <w:rPr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4BB26" w14:textId="77777777" w:rsidR="003F157F" w:rsidRPr="00596039" w:rsidRDefault="003F157F" w:rsidP="00B46E09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596039">
                    <w:rPr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  <w:bookmarkStart w:id="0" w:name="_GoBack"/>
                  <w:bookmarkEnd w:id="0"/>
                </w:p>
              </w:tc>
            </w:tr>
          </w:tbl>
          <w:p w14:paraId="28BCF0E9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F1B5" w14:textId="77777777" w:rsidR="003F157F" w:rsidRPr="003F157F" w:rsidRDefault="003F157F" w:rsidP="000A3D0E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F82" w14:textId="77777777" w:rsidR="003F157F" w:rsidRPr="003F157F" w:rsidRDefault="003F157F" w:rsidP="003F157F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C05B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277 183,33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2A64" w14:textId="77777777" w:rsidR="003F157F" w:rsidRPr="003F157F" w:rsidRDefault="003F157F" w:rsidP="003F157F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F157F">
              <w:rPr>
                <w:sz w:val="24"/>
                <w:szCs w:val="24"/>
                <w:lang w:eastAsia="ar-SA"/>
              </w:rPr>
              <w:t>1 108 733,32</w:t>
            </w:r>
          </w:p>
        </w:tc>
      </w:tr>
      <w:tr w:rsidR="000A3D0E" w:rsidRPr="003F157F" w14:paraId="53AD2CAA" w14:textId="77777777" w:rsidTr="000A3D0E">
        <w:trPr>
          <w:trHeight w:val="420"/>
        </w:trPr>
        <w:tc>
          <w:tcPr>
            <w:tcW w:w="3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49F" w14:textId="5D553B14" w:rsidR="003F157F" w:rsidRPr="003F157F" w:rsidRDefault="003F157F" w:rsidP="003F157F">
            <w:pPr>
              <w:keepLines/>
              <w:widowControl w:val="0"/>
              <w:tabs>
                <w:tab w:val="left" w:pos="3828"/>
                <w:tab w:val="center" w:pos="5244"/>
              </w:tabs>
              <w:rPr>
                <w:b/>
                <w:sz w:val="24"/>
                <w:szCs w:val="24"/>
                <w:lang w:val="en-US" w:eastAsia="ar-SA"/>
              </w:rPr>
            </w:pPr>
            <w:r w:rsidRPr="003F157F">
              <w:rPr>
                <w:b/>
                <w:sz w:val="24"/>
                <w:szCs w:val="24"/>
                <w:lang w:eastAsia="ar-SA"/>
              </w:rPr>
              <w:lastRenderedPageBreak/>
              <w:t>ИТОГО</w:t>
            </w:r>
            <w:r w:rsidRPr="003F157F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FB0" w14:textId="29C84A0E" w:rsidR="003F157F" w:rsidRPr="003F157F" w:rsidRDefault="003F157F" w:rsidP="000A3D0E">
            <w:pPr>
              <w:jc w:val="center"/>
              <w:rPr>
                <w:b/>
                <w:sz w:val="24"/>
                <w:szCs w:val="24"/>
                <w:lang w:val="en-US" w:eastAsia="ar-SA"/>
              </w:rPr>
            </w:pPr>
            <w:r w:rsidRPr="003F157F">
              <w:rPr>
                <w:b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A4D" w14:textId="77777777" w:rsidR="003F157F" w:rsidRPr="003F157F" w:rsidRDefault="003F157F" w:rsidP="003F157F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43C" w14:textId="77777777" w:rsidR="003F157F" w:rsidRPr="003F157F" w:rsidRDefault="003F157F" w:rsidP="003F157F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9CE" w14:textId="40AFBCF2" w:rsidR="003F157F" w:rsidRPr="003F157F" w:rsidRDefault="003F157F" w:rsidP="003F157F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3F157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1 479 049,99</w:t>
            </w:r>
          </w:p>
        </w:tc>
      </w:tr>
    </w:tbl>
    <w:p w14:paraId="17F3A731" w14:textId="77777777" w:rsidR="003F157F" w:rsidRDefault="003F157F" w:rsidP="003F157F">
      <w:pPr>
        <w:keepLines/>
        <w:widowControl w:val="0"/>
        <w:suppressAutoHyphens/>
        <w:ind w:firstLine="709"/>
        <w:jc w:val="both"/>
        <w:rPr>
          <w:sz w:val="22"/>
          <w:szCs w:val="22"/>
          <w:lang w:val="en-US"/>
        </w:rPr>
      </w:pPr>
    </w:p>
    <w:p w14:paraId="26037766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szCs w:val="24"/>
        </w:rPr>
        <w:t xml:space="preserve">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 – ортопедическими изделиями до их замены» срок пользования техническими средствами реабилитации, протезом и протезно-ортопедическим изделием (далее ТСР) исчисляется </w:t>
      </w:r>
      <w:proofErr w:type="gramStart"/>
      <w:r w:rsidRPr="003F157F">
        <w:rPr>
          <w:szCs w:val="24"/>
        </w:rPr>
        <w:t>с даты предоставления</w:t>
      </w:r>
      <w:proofErr w:type="gramEnd"/>
      <w:r w:rsidRPr="003F157F">
        <w:rPr>
          <w:szCs w:val="24"/>
        </w:rPr>
        <w:t xml:space="preserve"> его инвалиду.</w:t>
      </w:r>
    </w:p>
    <w:p w14:paraId="6E083EB9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b/>
          <w:szCs w:val="24"/>
        </w:rPr>
        <w:t>Условия и сроки (периоды) выполнения работ</w:t>
      </w:r>
      <w:r w:rsidRPr="003F157F">
        <w:rPr>
          <w:szCs w:val="24"/>
        </w:rPr>
        <w:t>: Срок изготовления протезно-ортопедического изделия не превышает 60 календарных дней со дня обращения получателя с направлением Заказчика. Срок завершения работ должен быть не позднее 05.11.2024 года.</w:t>
      </w:r>
    </w:p>
    <w:p w14:paraId="4D5B21AA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b/>
          <w:szCs w:val="24"/>
        </w:rPr>
        <w:t>Место выполнения работ</w:t>
      </w:r>
      <w:r w:rsidRPr="003F157F">
        <w:rPr>
          <w:szCs w:val="24"/>
        </w:rPr>
        <w:t>: Российская Федерация, Краснодарский край, работы выполняются по месту протезирования, протезно – ортопедические изделия выдаются непосредственно Получателям.</w:t>
      </w:r>
    </w:p>
    <w:p w14:paraId="3C27444F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b/>
          <w:szCs w:val="24"/>
        </w:rPr>
        <w:lastRenderedPageBreak/>
        <w:t>Требования к качеству работ</w:t>
      </w:r>
      <w:r w:rsidRPr="003F157F">
        <w:rPr>
          <w:szCs w:val="24"/>
        </w:rPr>
        <w:t xml:space="preserve">: протез нижней конечности должен соответствовать требованиям Национального стандарта Российской Федерации ГОСТ </w:t>
      </w:r>
      <w:proofErr w:type="gramStart"/>
      <w:r w:rsidRPr="003F157F">
        <w:rPr>
          <w:szCs w:val="24"/>
        </w:rPr>
        <w:t>Р</w:t>
      </w:r>
      <w:proofErr w:type="gramEnd"/>
      <w:r w:rsidRPr="003F157F">
        <w:rPr>
          <w:szCs w:val="24"/>
        </w:rPr>
        <w:t xml:space="preserve"> 51632-2021«Технические средства реабилитации людей с ограничениями жизнедеятельности. Общие технические требования и методы испытаний». Протезы должны соответствовать требованиям Федерального закона от 21.11.2011 года № 323-ФЗ «Об основах охраны здоровья граждан в Российской Федерации».</w:t>
      </w:r>
    </w:p>
    <w:p w14:paraId="49746477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b/>
          <w:szCs w:val="24"/>
        </w:rPr>
        <w:t>Требования к техническим и функциональным характеристикам работ</w:t>
      </w:r>
      <w:r w:rsidRPr="003F157F">
        <w:rPr>
          <w:szCs w:val="24"/>
        </w:rPr>
        <w:t xml:space="preserve">: выполняемые работы по обеспечению протезами верхних конечностей должны содержать комплекс медицинских, технических и социальных мероприятий, проводимых с пациентами, имеющими нарушения и дефекты опорно-двигательного аппарата, в целях восстановления или компенсации ограничений их жизнедеятельности. </w:t>
      </w:r>
    </w:p>
    <w:p w14:paraId="113EF3F0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b/>
          <w:szCs w:val="24"/>
        </w:rPr>
        <w:t>Работы по проведению комплекса медицинских, технических и организационных мероприятий</w:t>
      </w:r>
      <w:r w:rsidRPr="003F157F">
        <w:rPr>
          <w:szCs w:val="24"/>
        </w:rPr>
        <w:t xml:space="preserve">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протезов. </w:t>
      </w:r>
    </w:p>
    <w:p w14:paraId="3720F556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szCs w:val="24"/>
        </w:rPr>
        <w:t>Приемная гильза протезов верхней конечности должна изготавливаться по индивидуальному параметру пациента, которая должна предназначается для размещения в нем культи или пораженной конечности, обеспечивая взаимодействие человека с протезом.</w:t>
      </w:r>
    </w:p>
    <w:p w14:paraId="0670B219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szCs w:val="24"/>
        </w:rPr>
        <w:t>Функциональный узел протезов верхних конечностей должен выполнять заданную функцию и должен иметь конструктивно-технологическую завершенность.</w:t>
      </w:r>
    </w:p>
    <w:p w14:paraId="2C6D11FF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szCs w:val="24"/>
        </w:rPr>
        <w:t>Искусственная кисть должна имитировать форму естественной кисти и должна воспроизводить часть ее функций.</w:t>
      </w:r>
    </w:p>
    <w:p w14:paraId="6F581DDA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szCs w:val="24"/>
        </w:rPr>
        <w:t>Косметическая кисть должна предназначаться для восполнения внешнего вида утраченной кисти и не должна иметь двигательных функций.</w:t>
      </w:r>
    </w:p>
    <w:p w14:paraId="227E3992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szCs w:val="24"/>
        </w:rPr>
        <w:t>Косметический протез конечности должен восполнять форму и внешний вид отсутствующей ее части.</w:t>
      </w:r>
    </w:p>
    <w:p w14:paraId="5F7355CD" w14:textId="77777777" w:rsidR="003F157F" w:rsidRPr="003F157F" w:rsidRDefault="003F157F" w:rsidP="003F157F">
      <w:pPr>
        <w:suppressAutoHyphens/>
        <w:ind w:firstLine="567"/>
        <w:jc w:val="both"/>
        <w:rPr>
          <w:szCs w:val="24"/>
        </w:rPr>
      </w:pPr>
      <w:r w:rsidRPr="003F157F">
        <w:rPr>
          <w:b/>
          <w:szCs w:val="24"/>
        </w:rPr>
        <w:t>Требования к результатам работ</w:t>
      </w:r>
      <w:r w:rsidRPr="003F157F">
        <w:rPr>
          <w:szCs w:val="24"/>
        </w:rPr>
        <w:t>: работы по обеспечению протезом будут эффективно исполнены, у пациента: будут восстановлены опорная и двигательная функции конечности, будут созданы условия для предупреждения развития деформации и благоприятного течения болезни. Работы по обеспечению протезом выполняются с надлежащим качеством и в установленные сроки.</w:t>
      </w:r>
    </w:p>
    <w:p w14:paraId="66AF896A" w14:textId="17C17E4F" w:rsidR="003F157F" w:rsidRPr="003F157F" w:rsidRDefault="003F157F" w:rsidP="003F157F">
      <w:pPr>
        <w:suppressAutoHyphens/>
        <w:ind w:firstLine="567"/>
        <w:jc w:val="both"/>
        <w:rPr>
          <w:color w:val="auto"/>
          <w:szCs w:val="24"/>
          <w:lang w:eastAsia="ar-SA"/>
        </w:rPr>
      </w:pPr>
      <w:r w:rsidRPr="003F157F">
        <w:rPr>
          <w:b/>
          <w:szCs w:val="24"/>
        </w:rPr>
        <w:t>Срок предоставления гарантии на выполненные работы</w:t>
      </w:r>
      <w:r w:rsidRPr="003F157F">
        <w:rPr>
          <w:szCs w:val="24"/>
        </w:rPr>
        <w:t>: Срок предоставления гарантии составляет 9 месяцев с момента выдачи изделия Получателю. В течение гарантийного срока Исполнитель производит замену или ремонт изделия бесплатно. Срок выполнения гарантийного ремонта со дня обращения Получателя не превышает 20 рабочих дней.</w:t>
      </w:r>
    </w:p>
    <w:p w14:paraId="77378F95" w14:textId="77777777" w:rsidR="003F157F" w:rsidRPr="003F157F" w:rsidRDefault="003F157F" w:rsidP="003F157F">
      <w:pPr>
        <w:shd w:val="clear" w:color="auto" w:fill="FFFFFF"/>
        <w:suppressAutoHyphens/>
        <w:ind w:firstLine="567"/>
        <w:jc w:val="both"/>
        <w:rPr>
          <w:color w:val="auto"/>
          <w:szCs w:val="24"/>
          <w:lang w:eastAsia="ar-SA"/>
        </w:rPr>
      </w:pPr>
      <w:r w:rsidRPr="003F157F">
        <w:rPr>
          <w:b/>
          <w:color w:val="auto"/>
          <w:szCs w:val="24"/>
          <w:lang w:eastAsia="ar-SA"/>
        </w:rPr>
        <w:t>Организация пунктов выдачи:</w:t>
      </w:r>
      <w:r w:rsidRPr="003F157F">
        <w:rPr>
          <w:color w:val="auto"/>
          <w:szCs w:val="24"/>
          <w:lang w:eastAsia="ar-SA"/>
        </w:rPr>
        <w:t xml:space="preserve"> Не допускать организацию нахождения пункта приема в арендованных гаражных боксах, складских помещениях.</w:t>
      </w:r>
    </w:p>
    <w:p w14:paraId="298C2C6F" w14:textId="77777777" w:rsidR="003F157F" w:rsidRPr="003F157F" w:rsidRDefault="003F157F" w:rsidP="003F157F">
      <w:pPr>
        <w:shd w:val="clear" w:color="auto" w:fill="FFFFFF"/>
        <w:suppressAutoHyphens/>
        <w:ind w:firstLine="567"/>
        <w:jc w:val="both"/>
        <w:rPr>
          <w:color w:val="auto"/>
          <w:szCs w:val="24"/>
          <w:lang w:eastAsia="ar-SA"/>
        </w:rPr>
      </w:pPr>
      <w:r w:rsidRPr="003F157F">
        <w:rPr>
          <w:color w:val="auto"/>
          <w:szCs w:val="24"/>
          <w:lang w:eastAsia="ar-SA"/>
        </w:rPr>
        <w:t xml:space="preserve">Вход в пункт приема обозначен надписью, позволяющей четко определить назначение и место нахождения указанного пункта приема. Проход в пункт приема и передвижение по ним </w:t>
      </w:r>
      <w:proofErr w:type="gramStart"/>
      <w:r w:rsidRPr="003F157F">
        <w:rPr>
          <w:color w:val="auto"/>
          <w:szCs w:val="24"/>
          <w:lang w:eastAsia="ar-SA"/>
        </w:rPr>
        <w:t>беспрепятственны</w:t>
      </w:r>
      <w:proofErr w:type="gramEnd"/>
      <w:r w:rsidRPr="003F157F">
        <w:rPr>
          <w:color w:val="auto"/>
          <w:szCs w:val="24"/>
          <w:lang w:eastAsia="ar-SA"/>
        </w:rPr>
        <w:t xml:space="preserve"> для Получателей, оборудованы санитарно-бытовыми помещениями, оборудованы пандусами. Входная группа, пути движения внутри пункта  приема, пути эвакуации соответствуют требованиям СП 59.13330.2020. Свод правил. Доступность зданий и сооружений для маломобильных групп населения, СП 44.13330.2011. Свод правил. Административные и бытовые здания. Исполнителем обеспечивается возможность самостоятельного передвижения Получателей по территории пункта приема, в том числе с помощью его работников, а также сменного кресла-коляски.</w:t>
      </w:r>
    </w:p>
    <w:p w14:paraId="019167FC" w14:textId="77777777" w:rsidR="003F157F" w:rsidRPr="003F157F" w:rsidRDefault="003F157F" w:rsidP="003F157F">
      <w:pPr>
        <w:shd w:val="clear" w:color="auto" w:fill="FFFFFF"/>
        <w:suppressAutoHyphens/>
        <w:ind w:firstLine="567"/>
        <w:jc w:val="both"/>
        <w:rPr>
          <w:color w:val="auto"/>
          <w:szCs w:val="24"/>
          <w:lang w:eastAsia="ar-SA"/>
        </w:rPr>
      </w:pPr>
      <w:r w:rsidRPr="003F157F">
        <w:rPr>
          <w:color w:val="auto"/>
          <w:szCs w:val="24"/>
          <w:lang w:eastAsia="ar-SA"/>
        </w:rPr>
        <w:t>Зона ожидания Получателей оборудована мебелью для ожидания в сидячем положении. Зона обслуживания не располагается в зоне ожидания.</w:t>
      </w:r>
    </w:p>
    <w:p w14:paraId="5B001993" w14:textId="258A5080" w:rsidR="005E5EAB" w:rsidRPr="00F935B8" w:rsidRDefault="003F157F" w:rsidP="00A038E3">
      <w:pPr>
        <w:suppressAutoHyphens/>
        <w:ind w:firstLine="567"/>
        <w:jc w:val="both"/>
        <w:rPr>
          <w:b/>
          <w:szCs w:val="24"/>
        </w:rPr>
      </w:pPr>
      <w:r w:rsidRPr="003F157F">
        <w:rPr>
          <w:color w:val="auto"/>
          <w:szCs w:val="24"/>
          <w:lang w:eastAsia="ar-SA"/>
        </w:rPr>
        <w:t>Изделия находятся на складе пункта приема, обеспечивающем их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sectPr w:rsidR="005E5EAB" w:rsidRPr="00F935B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3F157F" w:rsidRDefault="003F157F" w:rsidP="00DF5110">
      <w:r>
        <w:separator/>
      </w:r>
    </w:p>
  </w:endnote>
  <w:endnote w:type="continuationSeparator" w:id="0">
    <w:p w14:paraId="67991C51" w14:textId="77777777" w:rsidR="003F157F" w:rsidRDefault="003F157F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3F157F" w:rsidRDefault="003F157F" w:rsidP="00DF5110">
      <w:r>
        <w:separator/>
      </w:r>
    </w:p>
  </w:footnote>
  <w:footnote w:type="continuationSeparator" w:id="0">
    <w:p w14:paraId="5A8FEDEF" w14:textId="77777777" w:rsidR="003F157F" w:rsidRDefault="003F157F" w:rsidP="00DF5110">
      <w:r>
        <w:continuationSeparator/>
      </w:r>
    </w:p>
  </w:footnote>
  <w:footnote w:id="1">
    <w:p w14:paraId="64AF8F77" w14:textId="77777777" w:rsidR="003F157F" w:rsidRDefault="003F157F" w:rsidP="003F157F">
      <w:pPr>
        <w:pStyle w:val="affff4"/>
        <w:rPr>
          <w:lang w:eastAsia="ar-SA"/>
        </w:rPr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3E1FC416" w14:textId="77777777" w:rsidR="003F157F" w:rsidRDefault="003F157F" w:rsidP="003F157F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A3D0E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664A0"/>
    <w:rsid w:val="00292D62"/>
    <w:rsid w:val="002D7B85"/>
    <w:rsid w:val="002E1EDD"/>
    <w:rsid w:val="002F2C66"/>
    <w:rsid w:val="0032718C"/>
    <w:rsid w:val="0032740B"/>
    <w:rsid w:val="00353467"/>
    <w:rsid w:val="003D052C"/>
    <w:rsid w:val="003F157F"/>
    <w:rsid w:val="004031D1"/>
    <w:rsid w:val="00412270"/>
    <w:rsid w:val="00414B6D"/>
    <w:rsid w:val="00431882"/>
    <w:rsid w:val="00433F8E"/>
    <w:rsid w:val="004438E1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1696"/>
    <w:rsid w:val="009D3DD9"/>
    <w:rsid w:val="009E4098"/>
    <w:rsid w:val="009F45BB"/>
    <w:rsid w:val="009F7006"/>
    <w:rsid w:val="00A038E3"/>
    <w:rsid w:val="00A25E32"/>
    <w:rsid w:val="00A367F1"/>
    <w:rsid w:val="00A41014"/>
    <w:rsid w:val="00A464C9"/>
    <w:rsid w:val="00AE2BE3"/>
    <w:rsid w:val="00AE4A66"/>
    <w:rsid w:val="00B27775"/>
    <w:rsid w:val="00B27C95"/>
    <w:rsid w:val="00B3008E"/>
    <w:rsid w:val="00B32DE4"/>
    <w:rsid w:val="00B46E09"/>
    <w:rsid w:val="00B849FF"/>
    <w:rsid w:val="00B91503"/>
    <w:rsid w:val="00BD0741"/>
    <w:rsid w:val="00BD26F7"/>
    <w:rsid w:val="00BD5A51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53908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87A6F"/>
    <w:rsid w:val="00F935B8"/>
    <w:rsid w:val="00FD6519"/>
    <w:rsid w:val="00FE0203"/>
    <w:rsid w:val="00FE33DE"/>
    <w:rsid w:val="00FF542C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ff2"/>
    <w:uiPriority w:val="59"/>
    <w:rsid w:val="003F157F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B0DB-F8CC-4BD7-A625-DBCB9D0D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Кизилова Татьяна Анатольевна</cp:lastModifiedBy>
  <cp:revision>151</cp:revision>
  <dcterms:created xsi:type="dcterms:W3CDTF">2021-12-29T15:28:00Z</dcterms:created>
  <dcterms:modified xsi:type="dcterms:W3CDTF">2024-09-11T08:36:00Z</dcterms:modified>
</cp:coreProperties>
</file>