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16"/>
        <w:gridCol w:w="2033"/>
        <w:gridCol w:w="1821"/>
        <w:gridCol w:w="2159"/>
        <w:gridCol w:w="1527"/>
        <w:gridCol w:w="1683"/>
        <w:gridCol w:w="1917"/>
        <w:gridCol w:w="1830"/>
      </w:tblGrid>
      <w:tr w:rsidR="006613C6" w:rsidRPr="006613C6" w:rsidTr="006613C6">
        <w:trPr>
          <w:trHeight w:val="225"/>
        </w:trPr>
        <w:tc>
          <w:tcPr>
            <w:tcW w:w="16800" w:type="dxa"/>
            <w:gridSpan w:val="8"/>
            <w:hideMark/>
          </w:tcPr>
          <w:p w:rsidR="00293843" w:rsidRPr="0000663D" w:rsidRDefault="00293843" w:rsidP="006613C6">
            <w:pPr>
              <w:rPr>
                <w:rFonts w:ascii="Times New Roman" w:hAnsi="Times New Roman" w:cs="Times New Roman"/>
                <w:b/>
              </w:rPr>
            </w:pPr>
            <w:r w:rsidRPr="0000663D">
              <w:rPr>
                <w:rFonts w:ascii="Times New Roman" w:hAnsi="Times New Roman" w:cs="Times New Roman"/>
                <w:b/>
              </w:rPr>
              <w:t>Приложение №1 к Извещению</w:t>
            </w:r>
          </w:p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Объект закупки: Поставка специальных сре</w:t>
            </w:r>
            <w:proofErr w:type="gramStart"/>
            <w:r w:rsidRPr="006613C6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6613C6">
              <w:rPr>
                <w:rFonts w:ascii="Times New Roman" w:hAnsi="Times New Roman" w:cs="Times New Roman"/>
              </w:rPr>
              <w:t>и нарушениях функций выделения в целях социального обеспечения граждан</w:t>
            </w:r>
          </w:p>
        </w:tc>
      </w:tr>
      <w:tr w:rsidR="006613C6" w:rsidRPr="006613C6" w:rsidTr="006613C6">
        <w:trPr>
          <w:trHeight w:val="450"/>
        </w:trPr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Наименование продукции</w:t>
            </w:r>
          </w:p>
        </w:tc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Наименование позиции по КТРУ/ОКПД2</w:t>
            </w:r>
          </w:p>
        </w:tc>
        <w:tc>
          <w:tcPr>
            <w:tcW w:w="12600" w:type="dxa"/>
            <w:gridSpan w:val="6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Характеристики и их значения</w:t>
            </w:r>
          </w:p>
        </w:tc>
      </w:tr>
      <w:tr w:rsidR="006613C6" w:rsidRPr="006613C6" w:rsidTr="006613C6">
        <w:trPr>
          <w:trHeight w:val="225"/>
        </w:trPr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Код КТРУ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Обязательна к применению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Тип характеристики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Инструкция по заполнению характеристик по заявке</w:t>
            </w:r>
          </w:p>
        </w:tc>
      </w:tr>
      <w:tr w:rsidR="006613C6" w:rsidRPr="006613C6" w:rsidTr="006613C6">
        <w:trPr>
          <w:trHeight w:val="225"/>
        </w:trPr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  <w:b/>
                <w:bCs/>
              </w:rPr>
            </w:pPr>
            <w:r w:rsidRPr="006613C6">
              <w:rPr>
                <w:rFonts w:ascii="Times New Roman" w:hAnsi="Times New Roman" w:cs="Times New Roman"/>
                <w:b/>
                <w:bCs/>
              </w:rPr>
              <w:t>Код ОКПД2</w:t>
            </w: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13C6" w:rsidRPr="006613C6" w:rsidTr="006613C6">
        <w:trPr>
          <w:trHeight w:val="450"/>
        </w:trPr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Система (с катетером) для </w:t>
            </w:r>
            <w:proofErr w:type="spellStart"/>
            <w:r w:rsidRPr="006613C6">
              <w:rPr>
                <w:rFonts w:ascii="Times New Roman" w:hAnsi="Times New Roman" w:cs="Times New Roman"/>
              </w:rPr>
              <w:t>нефростомии</w:t>
            </w:r>
            <w:proofErr w:type="spellEnd"/>
          </w:p>
        </w:tc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6613C6">
              <w:rPr>
                <w:rFonts w:ascii="Times New Roman" w:hAnsi="Times New Roman" w:cs="Times New Roman"/>
              </w:rPr>
              <w:t>нефростомический</w:t>
            </w:r>
            <w:proofErr w:type="spellEnd"/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Вид катетер для ЧПНС 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proofErr w:type="spellStart"/>
            <w:r w:rsidRPr="006613C6">
              <w:rPr>
                <w:rFonts w:ascii="Times New Roman" w:hAnsi="Times New Roman" w:cs="Times New Roman"/>
              </w:rPr>
              <w:t>Однопетлевой</w:t>
            </w:r>
            <w:proofErr w:type="spellEnd"/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25"/>
        </w:trPr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100" w:type="dxa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32.50.13.110-00003233</w:t>
            </w: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proofErr w:type="spellStart"/>
            <w:r w:rsidRPr="006613C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32.50.13.110</w:t>
            </w: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Длина катетера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 ≥ 29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Количественная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Количество боковых отверстий на петле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 ≥ 6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proofErr w:type="spellStart"/>
            <w:r w:rsidRPr="006613C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Количественная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450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Строение катетера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Боковые отверстия на петле, расположенные в шахматном порядк</w:t>
            </w:r>
            <w:r w:rsidR="008438CE">
              <w:rPr>
                <w:rFonts w:ascii="Times New Roman" w:hAnsi="Times New Roman" w:cs="Times New Roman"/>
              </w:rPr>
              <w:t>е</w:t>
            </w:r>
            <w:r w:rsidRPr="006613C6">
              <w:rPr>
                <w:rFonts w:ascii="Times New Roman" w:hAnsi="Times New Roman" w:cs="Times New Roman"/>
              </w:rPr>
              <w:t xml:space="preserve">, торцевое </w:t>
            </w:r>
            <w:r w:rsidR="00EC7672">
              <w:rPr>
                <w:rFonts w:ascii="Times New Roman" w:hAnsi="Times New Roman" w:cs="Times New Roman"/>
              </w:rPr>
              <w:t xml:space="preserve">отверстие, </w:t>
            </w:r>
            <w:r w:rsidRPr="006613C6">
              <w:rPr>
                <w:rFonts w:ascii="Times New Roman" w:hAnsi="Times New Roman" w:cs="Times New Roman"/>
              </w:rPr>
              <w:t>градуир</w:t>
            </w:r>
            <w:r w:rsidR="00EC7672">
              <w:rPr>
                <w:rFonts w:ascii="Times New Roman" w:hAnsi="Times New Roman" w:cs="Times New Roman"/>
              </w:rPr>
              <w:t xml:space="preserve">овка на катетере по </w:t>
            </w:r>
            <w:r w:rsidR="00EC7672">
              <w:rPr>
                <w:rFonts w:ascii="Times New Roman" w:hAnsi="Times New Roman" w:cs="Times New Roman"/>
              </w:rPr>
              <w:lastRenderedPageBreak/>
              <w:t>сантиметрам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450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450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Материал катетера 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Термопластичный </w:t>
            </w:r>
            <w:proofErr w:type="spellStart"/>
            <w:r w:rsidRPr="006613C6">
              <w:rPr>
                <w:rFonts w:ascii="Times New Roman" w:hAnsi="Times New Roman" w:cs="Times New Roman"/>
              </w:rPr>
              <w:t>рентгенконтрастный</w:t>
            </w:r>
            <w:proofErr w:type="spellEnd"/>
            <w:r w:rsidRPr="006613C6">
              <w:rPr>
                <w:rFonts w:ascii="Times New Roman" w:hAnsi="Times New Roman" w:cs="Times New Roman"/>
              </w:rPr>
              <w:t xml:space="preserve"> полимер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Металлический стилет для выпрямления петли катетера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Переходник для соединения катетера с мешком для сбора мочи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Длина переходника для мочеприемника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 ≤ 25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Количественная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Материал перехо</w:t>
            </w:r>
            <w:r w:rsidR="002C5EC5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Pr="006613C6">
              <w:rPr>
                <w:rFonts w:ascii="Times New Roman" w:hAnsi="Times New Roman" w:cs="Times New Roman"/>
              </w:rPr>
              <w:t>ника для мочеприемника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ПВХ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2,7 мм; 3 мм; 3,3 мм; 4 мм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 xml:space="preserve">Значение характеристики не может </w:t>
            </w:r>
            <w:r w:rsidRPr="006613C6">
              <w:rPr>
                <w:rFonts w:ascii="Times New Roman" w:hAnsi="Times New Roman" w:cs="Times New Roman"/>
              </w:rPr>
              <w:lastRenderedPageBreak/>
              <w:t>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Коннектор с запирательным механизмом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Фиксирующая муфта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Качественная</w:t>
            </w:r>
          </w:p>
        </w:tc>
        <w:tc>
          <w:tcPr>
            <w:tcW w:w="2100" w:type="dxa"/>
            <w:vMerge w:val="restart"/>
            <w:hideMark/>
          </w:tcPr>
          <w:p w:rsidR="006613C6" w:rsidRPr="006613C6" w:rsidRDefault="006613C6" w:rsidP="006613C6">
            <w:pPr>
              <w:rPr>
                <w:rFonts w:ascii="Times New Roman" w:hAnsi="Times New Roman" w:cs="Times New Roman"/>
              </w:rPr>
            </w:pPr>
            <w:r w:rsidRPr="006613C6"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</w:tr>
      <w:tr w:rsidR="006613C6" w:rsidRPr="006613C6" w:rsidTr="006613C6">
        <w:trPr>
          <w:trHeight w:val="269"/>
        </w:trPr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  <w:tc>
          <w:tcPr>
            <w:tcW w:w="2100" w:type="dxa"/>
            <w:vMerge/>
            <w:hideMark/>
          </w:tcPr>
          <w:p w:rsidR="006613C6" w:rsidRPr="006613C6" w:rsidRDefault="006613C6"/>
        </w:tc>
      </w:tr>
    </w:tbl>
    <w:p w:rsidR="004E51D3" w:rsidRDefault="004E51D3"/>
    <w:p w:rsidR="006613C6" w:rsidRPr="006613C6" w:rsidRDefault="006613C6" w:rsidP="00661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Специальные средства при нарушениях функций выделения – это устройства, носимые на себе, предназначенные для сбора кишечного содержимого или мочи и устранения их агрессивного воздействия на кожу. Конструкция специальных средств при нарушениях функций выделения должна обеспечивать пользователю удобство и простоту обращения с ними. В специальных средствах при нарушениях функций выделения не допускаются механические повреждения (разрыв края, разрезы и т.п.), видимые невооруженным глазом.</w:t>
      </w:r>
    </w:p>
    <w:p w:rsidR="006613C6" w:rsidRPr="006613C6" w:rsidRDefault="006613C6" w:rsidP="00661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Поставщик обязан представить Заказчику копии действующих регистрационных удостоверений, выданных Федеральной службой по надзору в сфере здравоохранения (в случае, если Товар подлежит регистрации)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Российской Федерации, при поступлении Товара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новых.  </w:t>
      </w:r>
    </w:p>
    <w:p w:rsidR="006613C6" w:rsidRPr="006613C6" w:rsidRDefault="006613C6" w:rsidP="00661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При использовании Товара по назначению не 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создаёт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ся угрозы для жизни и здоровья потребителя, окружающей среды, 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также использование Товара не 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причиня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вред имуществу потребителя при его эксплуатации (Закон РФ от 07.02.1992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2300-1 «О защите прав потребителей»).</w:t>
      </w:r>
    </w:p>
    <w:p w:rsidR="006613C6" w:rsidRPr="006613C6" w:rsidRDefault="006613C6" w:rsidP="00661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Товар соответств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ует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государственного стандарта (ГОСТ), действующего на территории Российской Федерации: </w:t>
      </w:r>
    </w:p>
    <w:p w:rsidR="006613C6" w:rsidRPr="006613C6" w:rsidRDefault="006613C6" w:rsidP="006613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ГОСТ Р 58235-2022 «Специальные средства при нарушениях функции выделения. Термины и определения. Классификация»</w:t>
      </w:r>
    </w:p>
    <w:p w:rsidR="006613C6" w:rsidRPr="006613C6" w:rsidRDefault="006613C6" w:rsidP="006613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ГОСТ Р 58237-2022 «Средства ухода за кишечными </w:t>
      </w:r>
      <w:proofErr w:type="spellStart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стомами</w:t>
      </w:r>
      <w:proofErr w:type="spellEnd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калоприемники, вспомогательные средства и средства ухода за кожей вокруг </w:t>
      </w:r>
      <w:proofErr w:type="spellStart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стомы</w:t>
      </w:r>
      <w:proofErr w:type="spellEnd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. Характеристики и основные требования. Методы испытаний.»</w:t>
      </w:r>
    </w:p>
    <w:p w:rsidR="006613C6" w:rsidRPr="006613C6" w:rsidRDefault="00CB3CD6" w:rsidP="006613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ГОСТ Р </w:t>
      </w:r>
      <w:r w:rsidR="006613C6"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52770-20</w:t>
      </w:r>
      <w:r w:rsidR="00842886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="006613C6"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«Изделия медицинские. Требования безопасности. Методы санитарно-химических и токсикологических испытаний».</w:t>
      </w:r>
    </w:p>
    <w:p w:rsidR="006613C6" w:rsidRPr="006613C6" w:rsidRDefault="006613C6" w:rsidP="006613C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ГОСТ Р 59449-2021 «Средства ухода за мочевыми </w:t>
      </w:r>
      <w:proofErr w:type="spellStart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стомами</w:t>
      </w:r>
      <w:proofErr w:type="spellEnd"/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при недержании мочи у мужчин, при задержке мочи»</w:t>
      </w:r>
    </w:p>
    <w:p w:rsidR="006613C6" w:rsidRPr="006613C6" w:rsidRDefault="006613C6" w:rsidP="006613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Товар новы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был в употреблении, в ремонте, в том числе не был восстановлен, не была осуществлена замена составных частей, не были восстановлены потребительские свойства. Товар свобод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ен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прав третьих лиц.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Хранение осуществляется в соответствии с требованиями, предъявляемыми к данной категории товара. Транспортировка осуществляется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Упаковка Товара обеспечива</w:t>
      </w:r>
      <w:r w:rsidR="00552284">
        <w:rPr>
          <w:rFonts w:ascii="Times New Roman" w:eastAsia="Times New Roman" w:hAnsi="Times New Roman" w:cs="Times New Roman"/>
          <w:sz w:val="24"/>
          <w:szCs w:val="24"/>
          <w:lang w:eastAsia="ar-SA"/>
        </w:rPr>
        <w:t>ет</w:t>
      </w: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защиту от повреждений, порчи (изнашивания), или загрязнения во время хранения и транспортирования к месту использования по назначению (п.4.11.5 ГОСТ Р 51632-2021 «Технические средства реабилитации людей с ограничениями жизнедеятельности. Общие технические требования и методы испытаний»)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Маркировка упаковки специальных средств при нарушениях функций выделения (моче - и калоприемников) включает: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условное обозначение группы изделий, товарную марку, обозначение номера изделия (при наличии);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страну-изготовителя;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предприятия-изготовителя, юридический адрес, товарный знак (при наличии);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отличительные характеристики изделий в соответствии с их техническим исполнением (при наличии);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номер артикула (при наличии);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количество изделий в упаковке;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дату (месяц, год) изготовления;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использования (при необходимости);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штриховой код изделия (при наличии);</w:t>
      </w:r>
    </w:p>
    <w:p w:rsidR="006613C6" w:rsidRP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информацию о сертификации (при наличии);</w:t>
      </w:r>
    </w:p>
    <w:p w:rsidR="006613C6" w:rsidRDefault="006613C6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13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указания по утилизации: «Не бросать в канализацию» </w:t>
      </w:r>
    </w:p>
    <w:p w:rsidR="00293843" w:rsidRPr="00043506" w:rsidRDefault="00293843" w:rsidP="00293843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35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связи с тем, что описание товара, работ, услуг и характеристики в позиции каталога отсутствует, описание объекта закупки осуществлено в соответствии с требованиями ст. 33 Федерального закона № 44-ФЗ и в соответствии с потребностью Заказчика по обеспечению техническими средствами реабилитации.</w:t>
      </w:r>
    </w:p>
    <w:p w:rsidR="00293843" w:rsidRPr="006613C6" w:rsidRDefault="00293843" w:rsidP="006613C6">
      <w:pPr>
        <w:tabs>
          <w:tab w:val="left" w:pos="-7797"/>
          <w:tab w:val="left" w:pos="142"/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13C6" w:rsidRDefault="006613C6"/>
    <w:sectPr w:rsidR="006613C6" w:rsidSect="00661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83"/>
    <w:rsid w:val="0000663D"/>
    <w:rsid w:val="00043506"/>
    <w:rsid w:val="0009450C"/>
    <w:rsid w:val="00293843"/>
    <w:rsid w:val="002C5EC5"/>
    <w:rsid w:val="00313B83"/>
    <w:rsid w:val="003349D9"/>
    <w:rsid w:val="003C6F77"/>
    <w:rsid w:val="0042293B"/>
    <w:rsid w:val="004E51D3"/>
    <w:rsid w:val="00552284"/>
    <w:rsid w:val="0056389B"/>
    <w:rsid w:val="006613C6"/>
    <w:rsid w:val="007005F1"/>
    <w:rsid w:val="007936FB"/>
    <w:rsid w:val="00842886"/>
    <w:rsid w:val="008438CE"/>
    <w:rsid w:val="0099663D"/>
    <w:rsid w:val="00CB3CD6"/>
    <w:rsid w:val="00EC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Ганеева Снежана Рамилевна</dc:creator>
  <cp:lastModifiedBy>oe.galimzyanova.16</cp:lastModifiedBy>
  <cp:revision>5</cp:revision>
  <dcterms:created xsi:type="dcterms:W3CDTF">2024-08-01T05:30:00Z</dcterms:created>
  <dcterms:modified xsi:type="dcterms:W3CDTF">2024-08-01T06:05:00Z</dcterms:modified>
</cp:coreProperties>
</file>