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B79" w:rsidRDefault="00AB338A" w:rsidP="00E404C3">
      <w:pPr>
        <w:spacing w:before="120" w:after="120"/>
        <w:jc w:val="center"/>
      </w:pPr>
      <w:r w:rsidRPr="00811B6A">
        <w:rPr>
          <w:b/>
        </w:rPr>
        <w:t>ОПИСАНИЕ ОБЪЕКТА ЗАКУПКИ</w:t>
      </w:r>
      <w:r w:rsidR="00E404C3" w:rsidRPr="00E404C3">
        <w:t xml:space="preserve"> </w:t>
      </w:r>
    </w:p>
    <w:p w:rsidR="00272B79" w:rsidRDefault="00272B79" w:rsidP="00E404C3">
      <w:pPr>
        <w:spacing w:before="120" w:after="120"/>
        <w:jc w:val="center"/>
        <w:rPr>
          <w:b/>
        </w:rPr>
      </w:pPr>
      <w:r w:rsidRPr="00272B79">
        <w:rPr>
          <w:b/>
        </w:rPr>
        <w:t>(ТЕХНИЧЕСКОЕ ЗАДАНИЕ)</w:t>
      </w:r>
    </w:p>
    <w:p w:rsidR="00E404C3" w:rsidRDefault="00E404C3" w:rsidP="00E404C3">
      <w:pPr>
        <w:spacing w:before="120" w:after="120"/>
        <w:jc w:val="center"/>
        <w:rPr>
          <w:b/>
          <w:i/>
        </w:rPr>
      </w:pPr>
      <w:r w:rsidRPr="00811B6A">
        <w:t xml:space="preserve">Наименование и описание объекта электронного аукциона: </w:t>
      </w:r>
      <w:r w:rsidR="0047383B" w:rsidRPr="0047383B">
        <w:rPr>
          <w:b/>
          <w:i/>
        </w:rPr>
        <w:t>№ 079-эа. Поставка технических средств реабилитации - специальных средств при нарушении функций выделения (Средства по уходу за стомой) для обеспечения ими в 2024 году.</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5528"/>
        <w:gridCol w:w="1134"/>
      </w:tblGrid>
      <w:tr w:rsidR="0072599D" w:rsidRPr="00ED36D0" w:rsidTr="00ED36D0">
        <w:trPr>
          <w:trHeight w:val="484"/>
        </w:trPr>
        <w:tc>
          <w:tcPr>
            <w:tcW w:w="562" w:type="dxa"/>
            <w:tcBorders>
              <w:top w:val="single" w:sz="4" w:space="0" w:color="auto"/>
              <w:left w:val="single" w:sz="4" w:space="0" w:color="auto"/>
              <w:bottom w:val="single" w:sz="4" w:space="0" w:color="auto"/>
              <w:right w:val="single" w:sz="4" w:space="0" w:color="auto"/>
            </w:tcBorders>
            <w:vAlign w:val="center"/>
          </w:tcPr>
          <w:p w:rsidR="0072599D" w:rsidRPr="00ED36D0" w:rsidRDefault="0072599D" w:rsidP="00ED36D0">
            <w:pPr>
              <w:tabs>
                <w:tab w:val="left" w:pos="708"/>
              </w:tabs>
              <w:jc w:val="center"/>
              <w:rPr>
                <w:b/>
              </w:rPr>
            </w:pPr>
            <w:r w:rsidRPr="00ED36D0">
              <w:rPr>
                <w:b/>
              </w:rPr>
              <w:t>№</w:t>
            </w:r>
          </w:p>
          <w:p w:rsidR="0072599D" w:rsidRPr="00ED36D0" w:rsidRDefault="0072599D" w:rsidP="00ED36D0">
            <w:pPr>
              <w:tabs>
                <w:tab w:val="left" w:pos="708"/>
              </w:tabs>
              <w:jc w:val="center"/>
              <w:rPr>
                <w:b/>
              </w:rPr>
            </w:pPr>
            <w:r w:rsidRPr="00ED36D0">
              <w:rPr>
                <w:b/>
              </w:rPr>
              <w:t>п/п</w:t>
            </w:r>
          </w:p>
        </w:tc>
        <w:tc>
          <w:tcPr>
            <w:tcW w:w="3261" w:type="dxa"/>
            <w:tcBorders>
              <w:top w:val="single" w:sz="4" w:space="0" w:color="auto"/>
              <w:left w:val="single" w:sz="4" w:space="0" w:color="auto"/>
              <w:bottom w:val="single" w:sz="4" w:space="0" w:color="auto"/>
              <w:right w:val="single" w:sz="4" w:space="0" w:color="auto"/>
            </w:tcBorders>
            <w:vAlign w:val="center"/>
          </w:tcPr>
          <w:p w:rsidR="0072599D" w:rsidRPr="00ED36D0" w:rsidRDefault="0072599D" w:rsidP="00ED36D0">
            <w:pPr>
              <w:tabs>
                <w:tab w:val="left" w:pos="708"/>
              </w:tabs>
              <w:jc w:val="center"/>
              <w:rPr>
                <w:b/>
              </w:rPr>
            </w:pPr>
            <w:r w:rsidRPr="00ED36D0">
              <w:rPr>
                <w:b/>
              </w:rPr>
              <w:t>Наименование Товара</w:t>
            </w:r>
          </w:p>
        </w:tc>
        <w:tc>
          <w:tcPr>
            <w:tcW w:w="5528" w:type="dxa"/>
            <w:tcBorders>
              <w:top w:val="single" w:sz="4" w:space="0" w:color="auto"/>
              <w:left w:val="single" w:sz="4" w:space="0" w:color="auto"/>
              <w:bottom w:val="single" w:sz="4" w:space="0" w:color="auto"/>
              <w:right w:val="single" w:sz="4" w:space="0" w:color="auto"/>
            </w:tcBorders>
            <w:vAlign w:val="center"/>
          </w:tcPr>
          <w:p w:rsidR="0072599D" w:rsidRPr="00ED36D0" w:rsidRDefault="0072599D" w:rsidP="00ED36D0">
            <w:pPr>
              <w:tabs>
                <w:tab w:val="left" w:pos="708"/>
              </w:tabs>
              <w:spacing w:line="100" w:lineRule="atLeast"/>
              <w:jc w:val="center"/>
              <w:rPr>
                <w:b/>
              </w:rPr>
            </w:pPr>
            <w:r w:rsidRPr="00ED36D0">
              <w:rPr>
                <w:b/>
              </w:rPr>
              <w:t>Описание и характеристики Товара</w:t>
            </w:r>
          </w:p>
        </w:tc>
        <w:tc>
          <w:tcPr>
            <w:tcW w:w="1134" w:type="dxa"/>
            <w:tcBorders>
              <w:top w:val="single" w:sz="4" w:space="0" w:color="auto"/>
              <w:left w:val="single" w:sz="4" w:space="0" w:color="auto"/>
              <w:bottom w:val="single" w:sz="4" w:space="0" w:color="auto"/>
              <w:right w:val="single" w:sz="4" w:space="0" w:color="auto"/>
            </w:tcBorders>
            <w:vAlign w:val="center"/>
          </w:tcPr>
          <w:p w:rsidR="0072599D" w:rsidRPr="00ED36D0" w:rsidRDefault="0072599D" w:rsidP="00ED36D0">
            <w:pPr>
              <w:tabs>
                <w:tab w:val="left" w:pos="708"/>
              </w:tabs>
              <w:ind w:left="-77"/>
              <w:jc w:val="center"/>
              <w:rPr>
                <w:b/>
              </w:rPr>
            </w:pPr>
            <w:r w:rsidRPr="00ED36D0">
              <w:rPr>
                <w:b/>
              </w:rPr>
              <w:t>Кол-во, шт.</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1</w:t>
            </w:r>
          </w:p>
        </w:tc>
        <w:tc>
          <w:tcPr>
            <w:tcW w:w="3261" w:type="dxa"/>
          </w:tcPr>
          <w:p w:rsidR="009477BB" w:rsidRPr="00ED36D0" w:rsidRDefault="009477BB" w:rsidP="00ED36D0">
            <w:pPr>
              <w:pStyle w:val="a7"/>
              <w:widowControl w:val="0"/>
              <w:snapToGrid w:val="0"/>
              <w:spacing w:after="0"/>
              <w:jc w:val="center"/>
              <w:rPr>
                <w:b/>
              </w:rPr>
            </w:pPr>
            <w:r w:rsidRPr="00ED36D0">
              <w:rPr>
                <w:b/>
              </w:rPr>
              <w:t>32.50.50.000-00000274: Повязка перистомная/околораневая</w:t>
            </w:r>
          </w:p>
          <w:p w:rsidR="009477BB" w:rsidRPr="00ED36D0" w:rsidRDefault="009477BB" w:rsidP="00ED36D0">
            <w:pPr>
              <w:jc w:val="center"/>
              <w:rPr>
                <w:b/>
              </w:rPr>
            </w:pPr>
            <w:r w:rsidRPr="00ED36D0">
              <w:rPr>
                <w:b/>
              </w:rPr>
              <w:t>21.01.29.</w:t>
            </w:r>
          </w:p>
          <w:p w:rsidR="009477BB" w:rsidRPr="00ED36D0" w:rsidRDefault="009477BB" w:rsidP="00ED36D0">
            <w:pPr>
              <w:jc w:val="center"/>
              <w:rPr>
                <w:b/>
              </w:rPr>
            </w:pPr>
            <w:r w:rsidRPr="00ED36D0">
              <w:rPr>
                <w:b/>
              </w:rPr>
              <w:t>Паста-герметик для защиты и выравнивания кожи вок</w:t>
            </w:r>
            <w:r w:rsidR="00ED36D0" w:rsidRPr="00ED36D0">
              <w:rPr>
                <w:b/>
              </w:rPr>
              <w:t>руг стомы в тубе, не менее 60 г</w:t>
            </w:r>
          </w:p>
        </w:tc>
        <w:tc>
          <w:tcPr>
            <w:tcW w:w="5528" w:type="dxa"/>
            <w:shd w:val="clear" w:color="auto" w:fill="auto"/>
          </w:tcPr>
          <w:p w:rsidR="009477BB" w:rsidRPr="00ED36D0" w:rsidRDefault="009477BB" w:rsidP="00ED36D0">
            <w:pPr>
              <w:rPr>
                <w:b/>
              </w:rPr>
            </w:pPr>
            <w:r w:rsidRPr="00ED36D0">
              <w:rPr>
                <w:spacing w:val="2"/>
                <w:shd w:val="clear" w:color="auto" w:fill="FFFFFF"/>
              </w:rPr>
              <w:t>Моделируемая паста должна быть, полужидкой консистенции, уплотняющаяся при нанесении на кожу или пластину, для защиты кожи, герметизации пластины калоприемника или уроприемника, выравнивания поверхностных шрамов и складок на коже вокруг стомы. Паста должна быть в тубе не менее 60г.</w:t>
            </w:r>
          </w:p>
        </w:tc>
        <w:tc>
          <w:tcPr>
            <w:tcW w:w="1134" w:type="dxa"/>
          </w:tcPr>
          <w:p w:rsidR="009477BB" w:rsidRPr="00ED36D0" w:rsidRDefault="009477BB" w:rsidP="00ED36D0">
            <w:pPr>
              <w:jc w:val="center"/>
            </w:pPr>
            <w:r w:rsidRPr="00ED36D0">
              <w:t>580</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2</w:t>
            </w:r>
          </w:p>
        </w:tc>
        <w:tc>
          <w:tcPr>
            <w:tcW w:w="3261" w:type="dxa"/>
          </w:tcPr>
          <w:p w:rsidR="009477BB" w:rsidRPr="00ED36D0" w:rsidRDefault="009477BB" w:rsidP="00ED36D0">
            <w:pPr>
              <w:pStyle w:val="a7"/>
              <w:widowControl w:val="0"/>
              <w:snapToGrid w:val="0"/>
              <w:spacing w:after="0"/>
              <w:jc w:val="center"/>
              <w:rPr>
                <w:b/>
              </w:rPr>
            </w:pPr>
            <w:r w:rsidRPr="00ED36D0">
              <w:rPr>
                <w:b/>
              </w:rPr>
              <w:t>32.50.50.000-00000274: Повязка перистомная/околораневая</w:t>
            </w:r>
          </w:p>
          <w:p w:rsidR="00ED36D0" w:rsidRDefault="009477BB" w:rsidP="00ED36D0">
            <w:pPr>
              <w:pStyle w:val="a7"/>
              <w:widowControl w:val="0"/>
              <w:snapToGrid w:val="0"/>
              <w:spacing w:after="0"/>
              <w:jc w:val="center"/>
              <w:rPr>
                <w:b/>
              </w:rPr>
            </w:pPr>
            <w:r w:rsidRPr="00ED36D0">
              <w:rPr>
                <w:b/>
              </w:rPr>
              <w:t>21.01.30.</w:t>
            </w:r>
          </w:p>
          <w:p w:rsidR="009477BB" w:rsidRPr="00ED36D0" w:rsidRDefault="009477BB" w:rsidP="00ED36D0">
            <w:pPr>
              <w:pStyle w:val="a7"/>
              <w:widowControl w:val="0"/>
              <w:snapToGrid w:val="0"/>
              <w:spacing w:after="0"/>
              <w:jc w:val="center"/>
              <w:rPr>
                <w:b/>
              </w:rPr>
            </w:pPr>
            <w:r w:rsidRPr="00ED36D0">
              <w:rPr>
                <w:b/>
              </w:rPr>
              <w:t xml:space="preserve">Паста-герметик для защиты и выравнивания кожи вокруг </w:t>
            </w:r>
            <w:r w:rsidR="00ED36D0" w:rsidRPr="00ED36D0">
              <w:rPr>
                <w:b/>
              </w:rPr>
              <w:t>стомы в полосках, не менее 60 г</w:t>
            </w:r>
          </w:p>
        </w:tc>
        <w:tc>
          <w:tcPr>
            <w:tcW w:w="5528" w:type="dxa"/>
            <w:shd w:val="clear" w:color="auto" w:fill="auto"/>
          </w:tcPr>
          <w:p w:rsidR="009477BB" w:rsidRPr="00ED36D0" w:rsidRDefault="009477BB" w:rsidP="00ED36D0">
            <w:pPr>
              <w:rPr>
                <w:b/>
              </w:rPr>
            </w:pPr>
            <w:r w:rsidRPr="00ED36D0">
              <w:rPr>
                <w:spacing w:val="2"/>
                <w:shd w:val="clear" w:color="auto" w:fill="FFFFFF"/>
              </w:rPr>
              <w:t>Моделируемая паста должна быть плотно-эластичной консистенции в полосках, не содержащая спирт, для защиты кожи, герметизации пластины калоприемника или уроприемника, выравнивания глубоких шрамов и складок на коже вокруг стомы. Паста должна быть в полоске не менее 6 г.</w:t>
            </w:r>
          </w:p>
        </w:tc>
        <w:tc>
          <w:tcPr>
            <w:tcW w:w="1134" w:type="dxa"/>
          </w:tcPr>
          <w:p w:rsidR="009477BB" w:rsidRPr="00ED36D0" w:rsidRDefault="009477BB" w:rsidP="00ED36D0">
            <w:pPr>
              <w:jc w:val="center"/>
            </w:pPr>
            <w:r w:rsidRPr="00ED36D0">
              <w:t>60</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3</w:t>
            </w:r>
          </w:p>
        </w:tc>
        <w:tc>
          <w:tcPr>
            <w:tcW w:w="3261" w:type="dxa"/>
          </w:tcPr>
          <w:p w:rsidR="009477BB" w:rsidRPr="00ED36D0" w:rsidRDefault="009477BB" w:rsidP="00ED36D0">
            <w:pPr>
              <w:pStyle w:val="a7"/>
              <w:widowControl w:val="0"/>
              <w:snapToGrid w:val="0"/>
              <w:spacing w:after="0"/>
              <w:jc w:val="center"/>
              <w:rPr>
                <w:b/>
              </w:rPr>
            </w:pPr>
            <w:r w:rsidRPr="00ED36D0">
              <w:rPr>
                <w:b/>
              </w:rPr>
              <w:t>32.50.50.000-00000274: Повязка перистомная/околораневая</w:t>
            </w:r>
          </w:p>
          <w:p w:rsidR="00ED36D0" w:rsidRDefault="009477BB" w:rsidP="00ED36D0">
            <w:pPr>
              <w:jc w:val="center"/>
              <w:rPr>
                <w:b/>
              </w:rPr>
            </w:pPr>
            <w:r w:rsidRPr="00ED36D0">
              <w:rPr>
                <w:b/>
              </w:rPr>
              <w:t>21.01.31.</w:t>
            </w:r>
          </w:p>
          <w:p w:rsidR="009477BB" w:rsidRPr="00ED36D0" w:rsidRDefault="009477BB" w:rsidP="00ED36D0">
            <w:pPr>
              <w:jc w:val="center"/>
              <w:rPr>
                <w:b/>
              </w:rPr>
            </w:pPr>
            <w:r w:rsidRPr="00ED36D0">
              <w:rPr>
                <w:b/>
              </w:rPr>
              <w:t xml:space="preserve">Крем </w:t>
            </w:r>
            <w:r w:rsidR="00ED36D0" w:rsidRPr="00ED36D0">
              <w:rPr>
                <w:b/>
              </w:rPr>
              <w:t>защитный в тубе, не менее 60 мл</w:t>
            </w:r>
          </w:p>
        </w:tc>
        <w:tc>
          <w:tcPr>
            <w:tcW w:w="5528" w:type="dxa"/>
            <w:shd w:val="clear" w:color="auto" w:fill="auto"/>
          </w:tcPr>
          <w:p w:rsidR="009477BB" w:rsidRPr="00ED36D0" w:rsidRDefault="009477BB" w:rsidP="00ED36D0">
            <w:pPr>
              <w:rPr>
                <w:b/>
              </w:rPr>
            </w:pPr>
            <w:r w:rsidRPr="00ED36D0">
              <w:rPr>
                <w:spacing w:val="2"/>
                <w:shd w:val="clear" w:color="auto" w:fill="FFFFFF"/>
              </w:rPr>
              <w:t>Нестерильный водоотталкивающий крем для ухода за кожей вокруг стомы или фистулы, для профилактики перистомальных осложнений, защиты кожи от раздражения, для смягчения и увлажнения сухой раздраженной кожи, восстановления нормального рН кожи.</w:t>
            </w:r>
            <w:r w:rsidRPr="00ED36D0">
              <w:rPr>
                <w:b/>
              </w:rPr>
              <w:t xml:space="preserve"> </w:t>
            </w:r>
            <w:r w:rsidRPr="00ED36D0">
              <w:t>Объем не менее 60 мл.</w:t>
            </w:r>
          </w:p>
        </w:tc>
        <w:tc>
          <w:tcPr>
            <w:tcW w:w="1134" w:type="dxa"/>
          </w:tcPr>
          <w:p w:rsidR="009477BB" w:rsidRPr="00ED36D0" w:rsidRDefault="009477BB" w:rsidP="00ED36D0">
            <w:pPr>
              <w:jc w:val="center"/>
            </w:pPr>
            <w:r w:rsidRPr="00ED36D0">
              <w:t>567</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4</w:t>
            </w:r>
          </w:p>
        </w:tc>
        <w:tc>
          <w:tcPr>
            <w:tcW w:w="3261" w:type="dxa"/>
          </w:tcPr>
          <w:p w:rsidR="00ED36D0" w:rsidRPr="0064728B" w:rsidRDefault="00ED36D0" w:rsidP="00ED36D0">
            <w:pPr>
              <w:pStyle w:val="a7"/>
              <w:widowControl w:val="0"/>
              <w:snapToGrid w:val="0"/>
              <w:spacing w:after="0"/>
              <w:jc w:val="center"/>
              <w:rPr>
                <w:b/>
              </w:rPr>
            </w:pPr>
            <w:r w:rsidRPr="00ED36D0">
              <w:rPr>
                <w:b/>
              </w:rPr>
              <w:t>32.50.50.000-00000274</w:t>
            </w:r>
            <w:r w:rsidR="0064728B">
              <w:rPr>
                <w:b/>
              </w:rPr>
              <w:t>:</w:t>
            </w:r>
            <w:bookmarkStart w:id="0" w:name="_GoBack"/>
            <w:bookmarkEnd w:id="0"/>
          </w:p>
          <w:p w:rsidR="009477BB" w:rsidRPr="00ED36D0" w:rsidRDefault="009477BB" w:rsidP="00ED36D0">
            <w:pPr>
              <w:pStyle w:val="a7"/>
              <w:widowControl w:val="0"/>
              <w:snapToGrid w:val="0"/>
              <w:spacing w:after="0"/>
              <w:jc w:val="center"/>
              <w:rPr>
                <w:b/>
              </w:rPr>
            </w:pPr>
            <w:r w:rsidRPr="00ED36D0">
              <w:rPr>
                <w:b/>
              </w:rPr>
              <w:t>Повязка перистомная/околораневая</w:t>
            </w:r>
          </w:p>
          <w:p w:rsidR="00ED36D0" w:rsidRDefault="009477BB" w:rsidP="00ED36D0">
            <w:pPr>
              <w:jc w:val="center"/>
              <w:rPr>
                <w:b/>
              </w:rPr>
            </w:pPr>
            <w:r w:rsidRPr="00ED36D0">
              <w:rPr>
                <w:b/>
              </w:rPr>
              <w:t>21.01.32.</w:t>
            </w:r>
          </w:p>
          <w:p w:rsidR="009477BB" w:rsidRPr="00ED36D0" w:rsidRDefault="009477BB" w:rsidP="00ED36D0">
            <w:pPr>
              <w:jc w:val="center"/>
              <w:rPr>
                <w:b/>
              </w:rPr>
            </w:pPr>
            <w:r w:rsidRPr="00ED36D0">
              <w:rPr>
                <w:b/>
              </w:rPr>
              <w:t>Пудра (порошок) абсо</w:t>
            </w:r>
            <w:r w:rsidR="00ED36D0" w:rsidRPr="00ED36D0">
              <w:rPr>
                <w:b/>
              </w:rPr>
              <w:t>рбирующая в тубе, не менее 25 г</w:t>
            </w:r>
          </w:p>
        </w:tc>
        <w:tc>
          <w:tcPr>
            <w:tcW w:w="5528" w:type="dxa"/>
            <w:shd w:val="clear" w:color="auto" w:fill="auto"/>
          </w:tcPr>
          <w:p w:rsidR="009477BB" w:rsidRPr="00ED36D0" w:rsidRDefault="009477BB" w:rsidP="00ED36D0">
            <w:pPr>
              <w:snapToGrid w:val="0"/>
              <w:rPr>
                <w:b/>
              </w:rPr>
            </w:pPr>
            <w:r w:rsidRPr="00ED36D0">
              <w:rPr>
                <w:spacing w:val="2"/>
                <w:shd w:val="clear" w:color="auto" w:fill="FFFFFF"/>
              </w:rPr>
              <w:t xml:space="preserve">Мелкодисперсные абсорбирующие нестерильные вещества для ухода за раздраженной мокнущей кожей вокруг стомы. Изделие для одноразового использования. </w:t>
            </w:r>
            <w:r w:rsidRPr="00ED36D0">
              <w:t>Объем не менее 25 г.</w:t>
            </w:r>
          </w:p>
        </w:tc>
        <w:tc>
          <w:tcPr>
            <w:tcW w:w="1134" w:type="dxa"/>
          </w:tcPr>
          <w:p w:rsidR="009477BB" w:rsidRPr="00ED36D0" w:rsidRDefault="009477BB" w:rsidP="00ED36D0">
            <w:pPr>
              <w:jc w:val="center"/>
            </w:pPr>
            <w:r w:rsidRPr="00ED36D0">
              <w:t>114</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5</w:t>
            </w:r>
          </w:p>
        </w:tc>
        <w:tc>
          <w:tcPr>
            <w:tcW w:w="3261" w:type="dxa"/>
          </w:tcPr>
          <w:p w:rsidR="009477BB" w:rsidRPr="00ED36D0" w:rsidRDefault="009477BB" w:rsidP="00ED36D0">
            <w:pPr>
              <w:jc w:val="center"/>
              <w:rPr>
                <w:b/>
              </w:rPr>
            </w:pPr>
            <w:r w:rsidRPr="00ED36D0">
              <w:rPr>
                <w:b/>
              </w:rPr>
              <w:t>32.50.50.000-00000303: покрытие жидкое из сентетического полимера для создания защитной пленки, нестерильное</w:t>
            </w:r>
          </w:p>
          <w:p w:rsidR="00ED36D0" w:rsidRDefault="009477BB" w:rsidP="00ED36D0">
            <w:pPr>
              <w:jc w:val="center"/>
              <w:rPr>
                <w:b/>
              </w:rPr>
            </w:pPr>
            <w:r w:rsidRPr="00ED36D0">
              <w:rPr>
                <w:b/>
              </w:rPr>
              <w:t>21.01.33.</w:t>
            </w:r>
          </w:p>
          <w:p w:rsidR="009477BB" w:rsidRPr="00ED36D0" w:rsidRDefault="009477BB" w:rsidP="00ED36D0">
            <w:pPr>
              <w:jc w:val="center"/>
              <w:rPr>
                <w:b/>
              </w:rPr>
            </w:pPr>
            <w:r w:rsidRPr="00ED36D0">
              <w:rPr>
                <w:b/>
              </w:rPr>
              <w:t>Защитная пл</w:t>
            </w:r>
            <w:r w:rsidR="00ED36D0" w:rsidRPr="00ED36D0">
              <w:rPr>
                <w:b/>
              </w:rPr>
              <w:t>енка во флаконе, не менее 50 мл</w:t>
            </w:r>
          </w:p>
        </w:tc>
        <w:tc>
          <w:tcPr>
            <w:tcW w:w="5528" w:type="dxa"/>
            <w:shd w:val="clear" w:color="auto" w:fill="auto"/>
          </w:tcPr>
          <w:p w:rsidR="009477BB" w:rsidRPr="00ED36D0" w:rsidRDefault="009477BB" w:rsidP="00ED36D0">
            <w:pPr>
              <w:rPr>
                <w:b/>
              </w:rPr>
            </w:pPr>
            <w:r w:rsidRPr="00ED36D0">
              <w:rPr>
                <w:spacing w:val="2"/>
                <w:shd w:val="clear" w:color="auto" w:fill="FFFFFF"/>
              </w:rPr>
              <w:t>Вещество для защиты кожи вокруг стомы и кожи промежности от агрессивного воздействия мочи и кала, а также от механических повреждений при отклеивании адгезивов, при нанесении и высыхании образует на коже полупроводящую эластичную защитную пленку, устойчивую к воздействию воды. Флакон-спрей должен быть не менее объем 50 мл.</w:t>
            </w:r>
          </w:p>
        </w:tc>
        <w:tc>
          <w:tcPr>
            <w:tcW w:w="1134" w:type="dxa"/>
          </w:tcPr>
          <w:p w:rsidR="009477BB" w:rsidRPr="00ED36D0" w:rsidRDefault="009477BB" w:rsidP="00ED36D0">
            <w:pPr>
              <w:jc w:val="center"/>
            </w:pPr>
            <w:r w:rsidRPr="00ED36D0">
              <w:t>15</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6</w:t>
            </w:r>
          </w:p>
        </w:tc>
        <w:tc>
          <w:tcPr>
            <w:tcW w:w="3261" w:type="dxa"/>
          </w:tcPr>
          <w:p w:rsidR="009477BB" w:rsidRPr="00ED36D0" w:rsidRDefault="009477BB" w:rsidP="00ED36D0">
            <w:pPr>
              <w:pStyle w:val="a7"/>
              <w:widowControl w:val="0"/>
              <w:snapToGrid w:val="0"/>
              <w:spacing w:after="0"/>
              <w:jc w:val="center"/>
              <w:rPr>
                <w:b/>
              </w:rPr>
            </w:pPr>
            <w:r w:rsidRPr="00ED36D0">
              <w:rPr>
                <w:b/>
              </w:rPr>
              <w:t>32.50.50.000-00000274: Повязка перистомная/околораневая</w:t>
            </w:r>
          </w:p>
          <w:p w:rsidR="00ED36D0" w:rsidRDefault="009477BB" w:rsidP="00ED36D0">
            <w:pPr>
              <w:jc w:val="center"/>
              <w:rPr>
                <w:b/>
              </w:rPr>
            </w:pPr>
            <w:r w:rsidRPr="00ED36D0">
              <w:rPr>
                <w:b/>
              </w:rPr>
              <w:t>21.01.39.</w:t>
            </w:r>
          </w:p>
          <w:p w:rsidR="009477BB" w:rsidRPr="00ED36D0" w:rsidRDefault="009477BB" w:rsidP="00ED36D0">
            <w:pPr>
              <w:jc w:val="center"/>
              <w:rPr>
                <w:b/>
              </w:rPr>
            </w:pPr>
            <w:r w:rsidRPr="00ED36D0">
              <w:rPr>
                <w:b/>
              </w:rPr>
              <w:t xml:space="preserve">Адгезивная пластина-полукольцо для дополнительной фиксации пластин калоприемников и </w:t>
            </w:r>
            <w:r w:rsidRPr="00ED36D0">
              <w:rPr>
                <w:b/>
              </w:rPr>
              <w:lastRenderedPageBreak/>
              <w:t xml:space="preserve">уроприемников, не менее </w:t>
            </w:r>
            <w:r w:rsidR="00ED36D0" w:rsidRPr="00ED36D0">
              <w:rPr>
                <w:b/>
              </w:rPr>
              <w:t>40 шт.</w:t>
            </w:r>
          </w:p>
        </w:tc>
        <w:tc>
          <w:tcPr>
            <w:tcW w:w="5528" w:type="dxa"/>
            <w:shd w:val="clear" w:color="auto" w:fill="auto"/>
          </w:tcPr>
          <w:p w:rsidR="009477BB" w:rsidRPr="00ED36D0" w:rsidRDefault="009477BB" w:rsidP="00ED36D0">
            <w:pPr>
              <w:snapToGrid w:val="0"/>
              <w:rPr>
                <w:b/>
              </w:rPr>
            </w:pPr>
            <w:r w:rsidRPr="00ED36D0">
              <w:rPr>
                <w:iCs/>
                <w:spacing w:val="2"/>
                <w:shd w:val="clear" w:color="auto" w:fill="FFFFFF"/>
              </w:rPr>
              <w:lastRenderedPageBreak/>
              <w:t xml:space="preserve">Пластина для дополнительной фиксации пластин калоприемников и уроприемников адгезивные полукольцо </w:t>
            </w:r>
            <w:r w:rsidRPr="00ED36D0">
              <w:t>должна быть эластичной, подходить для любого телосложения, должен продлевать срок использования калоприемников (уроприемников).</w:t>
            </w:r>
          </w:p>
        </w:tc>
        <w:tc>
          <w:tcPr>
            <w:tcW w:w="1134" w:type="dxa"/>
          </w:tcPr>
          <w:p w:rsidR="009477BB" w:rsidRPr="00ED36D0" w:rsidRDefault="009477BB" w:rsidP="00ED36D0">
            <w:pPr>
              <w:jc w:val="center"/>
            </w:pPr>
            <w:r w:rsidRPr="00ED36D0">
              <w:t>2 040</w:t>
            </w:r>
          </w:p>
        </w:tc>
      </w:tr>
      <w:tr w:rsidR="009477BB" w:rsidRPr="00ED36D0" w:rsidTr="00ED36D0">
        <w:trPr>
          <w:trHeight w:val="781"/>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r w:rsidRPr="00ED36D0">
              <w:t>7</w:t>
            </w:r>
          </w:p>
        </w:tc>
        <w:tc>
          <w:tcPr>
            <w:tcW w:w="3261" w:type="dxa"/>
          </w:tcPr>
          <w:p w:rsidR="009477BB" w:rsidRPr="00ED36D0" w:rsidRDefault="009477BB" w:rsidP="00ED36D0">
            <w:pPr>
              <w:pStyle w:val="a7"/>
              <w:widowControl w:val="0"/>
              <w:snapToGrid w:val="0"/>
              <w:spacing w:after="0"/>
              <w:jc w:val="center"/>
              <w:rPr>
                <w:b/>
              </w:rPr>
            </w:pPr>
            <w:r w:rsidRPr="00ED36D0">
              <w:rPr>
                <w:b/>
              </w:rPr>
              <w:t>32.50.50.000-00000274: Повязка перистомная/околораневая</w:t>
            </w:r>
          </w:p>
          <w:p w:rsidR="009477BB" w:rsidRPr="00ED36D0" w:rsidRDefault="009477BB" w:rsidP="00ED36D0">
            <w:pPr>
              <w:jc w:val="center"/>
              <w:rPr>
                <w:b/>
                <w:color w:val="000000"/>
              </w:rPr>
            </w:pPr>
            <w:r w:rsidRPr="00ED36D0">
              <w:rPr>
                <w:b/>
                <w:color w:val="000000"/>
              </w:rPr>
              <w:t>21.01.41. Защитные кольца для кожи вокруг стомы</w:t>
            </w:r>
          </w:p>
          <w:p w:rsidR="009477BB" w:rsidRPr="00ED36D0" w:rsidRDefault="009477BB" w:rsidP="00ED36D0">
            <w:pPr>
              <w:pStyle w:val="a7"/>
              <w:widowControl w:val="0"/>
              <w:snapToGrid w:val="0"/>
              <w:spacing w:after="0"/>
              <w:jc w:val="center"/>
              <w:rPr>
                <w:b/>
              </w:rPr>
            </w:pPr>
          </w:p>
        </w:tc>
        <w:tc>
          <w:tcPr>
            <w:tcW w:w="5528" w:type="dxa"/>
            <w:shd w:val="clear" w:color="auto" w:fill="auto"/>
          </w:tcPr>
          <w:p w:rsidR="009477BB" w:rsidRPr="00ED36D0" w:rsidRDefault="009477BB" w:rsidP="00ED36D0">
            <w:pPr>
              <w:rPr>
                <w:spacing w:val="2"/>
                <w:shd w:val="clear" w:color="auto" w:fill="FFFFFF"/>
              </w:rPr>
            </w:pPr>
            <w:r w:rsidRPr="00ED36D0">
              <w:t>Адгезивные защитные моделируемые кольца для кожи вокруг стомы, должны</w:t>
            </w:r>
            <w:r w:rsidRPr="00ED36D0">
              <w:rPr>
                <w:spacing w:val="2"/>
                <w:shd w:val="clear" w:color="auto" w:fill="FFFFFF"/>
              </w:rPr>
              <w:t xml:space="preserve"> обеспечивать длительную защиту от протекания кишечного отделяемого или мочи. Выравнивает шрамы и складки на коже вокруг стомы, герметизацию пластин калоприемников и уроприемников.</w:t>
            </w:r>
          </w:p>
          <w:p w:rsidR="009477BB" w:rsidRPr="00ED36D0" w:rsidRDefault="009477BB" w:rsidP="00ED36D0">
            <w:pPr>
              <w:snapToGrid w:val="0"/>
              <w:rPr>
                <w:b/>
              </w:rPr>
            </w:pPr>
            <w:r w:rsidRPr="00ED36D0">
              <w:t>Калоприемник (уроприемник) должен легко наклеиваться поверх кольца, кольцо должно удаляться вместе с пластиной калоприемника.</w:t>
            </w:r>
          </w:p>
        </w:tc>
        <w:tc>
          <w:tcPr>
            <w:tcW w:w="1134" w:type="dxa"/>
          </w:tcPr>
          <w:p w:rsidR="009477BB" w:rsidRPr="00ED36D0" w:rsidRDefault="009477BB" w:rsidP="00ED36D0">
            <w:pPr>
              <w:jc w:val="center"/>
            </w:pPr>
            <w:r w:rsidRPr="00ED36D0">
              <w:t>540</w:t>
            </w:r>
          </w:p>
        </w:tc>
      </w:tr>
      <w:tr w:rsidR="009477BB" w:rsidRPr="00ED36D0" w:rsidTr="00ED36D0">
        <w:trPr>
          <w:trHeight w:val="266"/>
        </w:trPr>
        <w:tc>
          <w:tcPr>
            <w:tcW w:w="562" w:type="dxa"/>
            <w:tcBorders>
              <w:top w:val="single" w:sz="4" w:space="0" w:color="auto"/>
              <w:left w:val="single" w:sz="4" w:space="0" w:color="auto"/>
              <w:bottom w:val="single" w:sz="4" w:space="0" w:color="auto"/>
              <w:right w:val="single" w:sz="4" w:space="0" w:color="auto"/>
            </w:tcBorders>
            <w:vAlign w:val="center"/>
          </w:tcPr>
          <w:p w:rsidR="009477BB" w:rsidRPr="00ED36D0" w:rsidRDefault="009477BB" w:rsidP="00ED36D0">
            <w:pPr>
              <w:tabs>
                <w:tab w:val="left" w:pos="708"/>
              </w:tabs>
              <w:jc w:val="center"/>
            </w:pPr>
          </w:p>
        </w:tc>
        <w:tc>
          <w:tcPr>
            <w:tcW w:w="3261" w:type="dxa"/>
            <w:tcBorders>
              <w:top w:val="single" w:sz="4" w:space="0" w:color="auto"/>
              <w:left w:val="single" w:sz="4" w:space="0" w:color="auto"/>
              <w:bottom w:val="single" w:sz="4" w:space="0" w:color="auto"/>
              <w:right w:val="single" w:sz="4" w:space="0" w:color="auto"/>
            </w:tcBorders>
          </w:tcPr>
          <w:p w:rsidR="009477BB" w:rsidRPr="00ED36D0" w:rsidRDefault="009477BB" w:rsidP="00ED36D0">
            <w:pPr>
              <w:widowControl w:val="0"/>
              <w:autoSpaceDN w:val="0"/>
              <w:jc w:val="center"/>
              <w:textAlignment w:val="baseline"/>
              <w:rPr>
                <w:rFonts w:eastAsia="Arial Unicode MS"/>
                <w:b/>
                <w:kern w:val="3"/>
              </w:rPr>
            </w:pPr>
            <w:r w:rsidRPr="00ED36D0">
              <w:rPr>
                <w:rFonts w:eastAsia="Arial Unicode MS"/>
                <w:b/>
                <w:kern w:val="3"/>
              </w:rPr>
              <w:t>ИТОГО</w:t>
            </w:r>
          </w:p>
        </w:tc>
        <w:tc>
          <w:tcPr>
            <w:tcW w:w="5528" w:type="dxa"/>
            <w:tcBorders>
              <w:top w:val="single" w:sz="4" w:space="0" w:color="auto"/>
              <w:left w:val="single" w:sz="4" w:space="0" w:color="auto"/>
              <w:bottom w:val="single" w:sz="4" w:space="0" w:color="auto"/>
              <w:right w:val="single" w:sz="4" w:space="0" w:color="auto"/>
            </w:tcBorders>
          </w:tcPr>
          <w:p w:rsidR="009477BB" w:rsidRPr="00ED36D0" w:rsidRDefault="009477BB" w:rsidP="00ED36D0">
            <w:pPr>
              <w:keepNext/>
              <w:widowControl w:val="0"/>
              <w:tabs>
                <w:tab w:val="left" w:pos="0"/>
              </w:tabs>
              <w:snapToGrid w:val="0"/>
            </w:pPr>
          </w:p>
        </w:tc>
        <w:tc>
          <w:tcPr>
            <w:tcW w:w="1134" w:type="dxa"/>
            <w:tcBorders>
              <w:top w:val="single" w:sz="4" w:space="0" w:color="auto"/>
              <w:left w:val="single" w:sz="4" w:space="0" w:color="auto"/>
              <w:bottom w:val="single" w:sz="4" w:space="0" w:color="auto"/>
              <w:right w:val="single" w:sz="4" w:space="0" w:color="auto"/>
            </w:tcBorders>
          </w:tcPr>
          <w:p w:rsidR="009477BB" w:rsidRPr="00ED36D0" w:rsidRDefault="009477BB" w:rsidP="00ED36D0">
            <w:pPr>
              <w:keepNext/>
              <w:widowControl w:val="0"/>
              <w:tabs>
                <w:tab w:val="left" w:pos="0"/>
              </w:tabs>
              <w:snapToGrid w:val="0"/>
              <w:jc w:val="center"/>
              <w:rPr>
                <w:b/>
              </w:rPr>
            </w:pPr>
            <w:r w:rsidRPr="00ED36D0">
              <w:rPr>
                <w:b/>
              </w:rPr>
              <w:t>3 916</w:t>
            </w:r>
          </w:p>
        </w:tc>
      </w:tr>
    </w:tbl>
    <w:p w:rsidR="00ED36D0" w:rsidRDefault="009477BB" w:rsidP="00ED36D0">
      <w:pPr>
        <w:ind w:firstLine="567"/>
        <w:jc w:val="center"/>
        <w:rPr>
          <w:bCs/>
          <w:kern w:val="2"/>
          <w:lang w:eastAsia="ar-SA"/>
        </w:rPr>
      </w:pPr>
      <w:r w:rsidRPr="00ED36D0">
        <w:rPr>
          <w:b/>
          <w:bCs/>
          <w:kern w:val="2"/>
          <w:lang w:eastAsia="ar-SA"/>
        </w:rPr>
        <w:t>Требования к качеству Товара</w:t>
      </w:r>
    </w:p>
    <w:p w:rsidR="009477BB" w:rsidRPr="00ED36D0" w:rsidRDefault="009477BB" w:rsidP="009477BB">
      <w:pPr>
        <w:ind w:firstLine="567"/>
        <w:rPr>
          <w:bCs/>
          <w:kern w:val="2"/>
          <w:lang w:eastAsia="ar-SA"/>
        </w:rPr>
      </w:pPr>
      <w:r w:rsidRPr="00ED36D0">
        <w:rPr>
          <w:bCs/>
          <w:kern w:val="2"/>
          <w:lang w:eastAsia="ar-SA"/>
        </w:rPr>
        <w:t>В специальных средствах при нарушениях функций выделения не допускаются механические повреждения (разрыв края, разрезы и т.п.). Конструкция специальных средств при нарушениях функций выделения должна обеспечивать пользователю удобство и простоту обращения с ними, легкость в уходе.</w:t>
      </w:r>
    </w:p>
    <w:p w:rsidR="00ED36D0" w:rsidRDefault="009477BB" w:rsidP="00ED36D0">
      <w:pPr>
        <w:ind w:firstLine="567"/>
        <w:jc w:val="center"/>
        <w:rPr>
          <w:bCs/>
          <w:kern w:val="2"/>
          <w:lang w:eastAsia="ar-SA"/>
        </w:rPr>
      </w:pPr>
      <w:r w:rsidRPr="00ED36D0">
        <w:rPr>
          <w:b/>
          <w:bCs/>
          <w:kern w:val="2"/>
          <w:lang w:eastAsia="ar-SA"/>
        </w:rPr>
        <w:t>Требования к безопасности товара</w:t>
      </w:r>
    </w:p>
    <w:p w:rsidR="009477BB" w:rsidRPr="00ED36D0" w:rsidRDefault="009477BB" w:rsidP="009477BB">
      <w:pPr>
        <w:ind w:firstLine="567"/>
        <w:rPr>
          <w:bCs/>
          <w:kern w:val="2"/>
          <w:lang w:eastAsia="ar-SA"/>
        </w:rPr>
      </w:pPr>
      <w:r w:rsidRPr="00ED36D0">
        <w:rPr>
          <w:bCs/>
          <w:kern w:val="2"/>
          <w:lang w:eastAsia="ar-SA"/>
        </w:rPr>
        <w:t xml:space="preserve">Специальные средства при нарушениях функций выделения должны соответствовать требованиям стандартов серии ГОСТ Р 58235-2022 «Специальные средства при нарушении функции выделения. Термины и определения. Классификация», ГОСТ Р 51632-2021 «Технические средства реабилитации людей с ограничениями жизнедеятельности. Общие технические требования и методы испытаний», ГОСТ Р 52770-2023 «Изделия медицинские. Система оценки биологического действия. Общие требования безопасности», Сырье и материалы для изготовления специальных средств при нарушениях функций выделения должны быть разрешены к применению Министерством здравоохранения и социального развития Российской Федерации. </w:t>
      </w:r>
    </w:p>
    <w:p w:rsidR="009477BB" w:rsidRPr="00ED36D0" w:rsidRDefault="009477BB" w:rsidP="00ED36D0">
      <w:pPr>
        <w:ind w:firstLine="567"/>
        <w:jc w:val="center"/>
        <w:rPr>
          <w:b/>
          <w:bCs/>
          <w:kern w:val="2"/>
          <w:lang w:eastAsia="ar-SA"/>
        </w:rPr>
      </w:pPr>
      <w:r w:rsidRPr="00ED36D0">
        <w:rPr>
          <w:b/>
          <w:bCs/>
          <w:kern w:val="2"/>
          <w:lang w:eastAsia="ar-SA"/>
        </w:rPr>
        <w:t>Требования к размерам, упаковке, отгрузке Товара</w:t>
      </w:r>
    </w:p>
    <w:p w:rsidR="009477BB" w:rsidRPr="00ED36D0" w:rsidRDefault="009477BB" w:rsidP="009477BB">
      <w:pPr>
        <w:ind w:firstLine="567"/>
        <w:rPr>
          <w:bCs/>
          <w:kern w:val="2"/>
          <w:lang w:eastAsia="ar-SA"/>
        </w:rPr>
      </w:pPr>
      <w:r w:rsidRPr="00ED36D0">
        <w:rPr>
          <w:bCs/>
          <w:kern w:val="2"/>
          <w:lang w:eastAsia="ar-SA"/>
        </w:rPr>
        <w:t>Упаковка специальных средств при нарушениях функций выделения должна обеспечивать их защиту от повреждений, порчи (изнашивания), или загрязнения во время хранения и транспортирования к месту использования по назначению.</w:t>
      </w:r>
    </w:p>
    <w:p w:rsidR="009477BB" w:rsidRPr="00ED36D0" w:rsidRDefault="009477BB" w:rsidP="009477BB">
      <w:pPr>
        <w:ind w:firstLine="567"/>
        <w:rPr>
          <w:bCs/>
          <w:kern w:val="2"/>
          <w:lang w:eastAsia="ar-SA"/>
        </w:rPr>
      </w:pPr>
      <w:r w:rsidRPr="00ED36D0">
        <w:rPr>
          <w:bCs/>
          <w:kern w:val="2"/>
          <w:lang w:eastAsia="ar-SA"/>
        </w:rPr>
        <w:t xml:space="preserve">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 </w:t>
      </w:r>
    </w:p>
    <w:p w:rsidR="009477BB" w:rsidRPr="00ED36D0" w:rsidRDefault="009477BB" w:rsidP="009477BB">
      <w:pPr>
        <w:ind w:firstLine="567"/>
        <w:rPr>
          <w:bCs/>
          <w:kern w:val="2"/>
          <w:lang w:eastAsia="ar-SA"/>
        </w:rPr>
      </w:pPr>
      <w:r w:rsidRPr="00ED36D0">
        <w:rPr>
          <w:bCs/>
          <w:kern w:val="2"/>
          <w:lang w:eastAsia="ar-SA"/>
        </w:rPr>
        <w:tab/>
      </w:r>
      <w:r w:rsidRPr="00ED36D0">
        <w:rPr>
          <w:bCs/>
          <w:kern w:val="2"/>
          <w:lang w:eastAsia="ar-SA"/>
        </w:rPr>
        <w:tab/>
        <w:t>Маркировка упаковки специальных средств при нарушениях функций выделения должна включать:</w:t>
      </w:r>
    </w:p>
    <w:p w:rsidR="009477BB" w:rsidRPr="00ED36D0" w:rsidRDefault="009477BB" w:rsidP="009477BB">
      <w:pPr>
        <w:ind w:firstLine="567"/>
        <w:rPr>
          <w:bCs/>
          <w:kern w:val="2"/>
          <w:lang w:eastAsia="ar-SA"/>
        </w:rPr>
      </w:pPr>
      <w:r w:rsidRPr="00ED36D0">
        <w:rPr>
          <w:bCs/>
          <w:kern w:val="2"/>
          <w:lang w:eastAsia="ar-SA"/>
        </w:rPr>
        <w:tab/>
        <w:t>- условное обозначение группы изделий, товарную марку (при наличии), обозначение номера изделия (при наличии);</w:t>
      </w:r>
    </w:p>
    <w:p w:rsidR="009477BB" w:rsidRPr="00ED36D0" w:rsidRDefault="009477BB" w:rsidP="009477BB">
      <w:pPr>
        <w:ind w:firstLine="567"/>
        <w:rPr>
          <w:bCs/>
          <w:kern w:val="2"/>
          <w:lang w:eastAsia="ar-SA"/>
        </w:rPr>
      </w:pPr>
      <w:r w:rsidRPr="00ED36D0">
        <w:rPr>
          <w:bCs/>
          <w:kern w:val="2"/>
          <w:lang w:eastAsia="ar-SA"/>
        </w:rPr>
        <w:tab/>
        <w:t>- страну-изготовителя;</w:t>
      </w:r>
    </w:p>
    <w:p w:rsidR="009477BB" w:rsidRPr="00ED36D0" w:rsidRDefault="009477BB" w:rsidP="009477BB">
      <w:pPr>
        <w:ind w:firstLine="567"/>
        <w:rPr>
          <w:bCs/>
          <w:kern w:val="2"/>
          <w:lang w:eastAsia="ar-SA"/>
        </w:rPr>
      </w:pPr>
      <w:r w:rsidRPr="00ED36D0">
        <w:rPr>
          <w:bCs/>
          <w:kern w:val="2"/>
          <w:lang w:eastAsia="ar-SA"/>
        </w:rPr>
        <w:tab/>
        <w:t>- наименование предприятия-изготовителя, юридический адрес, товарный знак (при наличии);</w:t>
      </w:r>
    </w:p>
    <w:p w:rsidR="009477BB" w:rsidRPr="00ED36D0" w:rsidRDefault="009477BB" w:rsidP="009477BB">
      <w:pPr>
        <w:ind w:firstLine="567"/>
        <w:rPr>
          <w:bCs/>
          <w:kern w:val="2"/>
          <w:lang w:eastAsia="ar-SA"/>
        </w:rPr>
      </w:pPr>
      <w:r w:rsidRPr="00ED36D0">
        <w:rPr>
          <w:bCs/>
          <w:kern w:val="2"/>
          <w:lang w:eastAsia="ar-SA"/>
        </w:rPr>
        <w:tab/>
        <w:t>- отличительные характеристики изделий в соответствии с их техническим исполнением (при наличии);</w:t>
      </w:r>
    </w:p>
    <w:p w:rsidR="009477BB" w:rsidRPr="00ED36D0" w:rsidRDefault="009477BB" w:rsidP="009477BB">
      <w:pPr>
        <w:ind w:firstLine="567"/>
        <w:rPr>
          <w:bCs/>
          <w:kern w:val="2"/>
          <w:lang w:eastAsia="ar-SA"/>
        </w:rPr>
      </w:pPr>
      <w:r w:rsidRPr="00ED36D0">
        <w:rPr>
          <w:bCs/>
          <w:kern w:val="2"/>
          <w:lang w:eastAsia="ar-SA"/>
        </w:rPr>
        <w:tab/>
        <w:t>- номер артикула (при наличии);</w:t>
      </w:r>
    </w:p>
    <w:p w:rsidR="009477BB" w:rsidRPr="00ED36D0" w:rsidRDefault="009477BB" w:rsidP="009477BB">
      <w:pPr>
        <w:ind w:firstLine="567"/>
        <w:rPr>
          <w:bCs/>
          <w:kern w:val="2"/>
          <w:lang w:eastAsia="ar-SA"/>
        </w:rPr>
      </w:pPr>
      <w:r w:rsidRPr="00ED36D0">
        <w:rPr>
          <w:bCs/>
          <w:kern w:val="2"/>
          <w:lang w:eastAsia="ar-SA"/>
        </w:rPr>
        <w:tab/>
        <w:t>- количество изделий в упаковке;</w:t>
      </w:r>
    </w:p>
    <w:p w:rsidR="009477BB" w:rsidRPr="00ED36D0" w:rsidRDefault="009477BB" w:rsidP="009477BB">
      <w:pPr>
        <w:ind w:firstLine="567"/>
        <w:rPr>
          <w:bCs/>
          <w:kern w:val="2"/>
          <w:lang w:eastAsia="ar-SA"/>
        </w:rPr>
      </w:pPr>
      <w:r w:rsidRPr="00ED36D0">
        <w:rPr>
          <w:bCs/>
          <w:kern w:val="2"/>
          <w:lang w:eastAsia="ar-SA"/>
        </w:rPr>
        <w:tab/>
        <w:t>- дату (месяц, год) изготовления или срок годности (при наличии);</w:t>
      </w:r>
    </w:p>
    <w:p w:rsidR="009477BB" w:rsidRPr="00ED36D0" w:rsidRDefault="009477BB" w:rsidP="009477BB">
      <w:pPr>
        <w:ind w:firstLine="567"/>
        <w:rPr>
          <w:bCs/>
          <w:kern w:val="2"/>
          <w:lang w:eastAsia="ar-SA"/>
        </w:rPr>
      </w:pPr>
      <w:r w:rsidRPr="00ED36D0">
        <w:rPr>
          <w:bCs/>
          <w:kern w:val="2"/>
          <w:lang w:eastAsia="ar-SA"/>
        </w:rPr>
        <w:tab/>
        <w:t>- правила использования (при наличии);</w:t>
      </w:r>
    </w:p>
    <w:p w:rsidR="009477BB" w:rsidRPr="00ED36D0" w:rsidRDefault="009477BB" w:rsidP="009477BB">
      <w:pPr>
        <w:ind w:firstLine="567"/>
        <w:rPr>
          <w:bCs/>
          <w:kern w:val="2"/>
          <w:lang w:eastAsia="ar-SA"/>
        </w:rPr>
      </w:pPr>
      <w:r w:rsidRPr="00ED36D0">
        <w:rPr>
          <w:bCs/>
          <w:kern w:val="2"/>
          <w:lang w:eastAsia="ar-SA"/>
        </w:rPr>
        <w:tab/>
        <w:t>- штриховой код изделия (при наличии);</w:t>
      </w:r>
    </w:p>
    <w:p w:rsidR="009477BB" w:rsidRPr="00ED36D0" w:rsidRDefault="009477BB" w:rsidP="009477BB">
      <w:pPr>
        <w:ind w:firstLine="567"/>
        <w:rPr>
          <w:bCs/>
          <w:kern w:val="2"/>
          <w:lang w:eastAsia="ar-SA"/>
        </w:rPr>
      </w:pPr>
      <w:r w:rsidRPr="00ED36D0">
        <w:rPr>
          <w:bCs/>
          <w:kern w:val="2"/>
          <w:lang w:eastAsia="ar-SA"/>
        </w:rPr>
        <w:tab/>
        <w:t>- информацию о сертификации (при наличии).</w:t>
      </w:r>
    </w:p>
    <w:p w:rsidR="009477BB" w:rsidRPr="00ED36D0" w:rsidRDefault="009477BB" w:rsidP="009477BB">
      <w:pPr>
        <w:ind w:firstLine="567"/>
        <w:rPr>
          <w:b/>
          <w:bCs/>
          <w:kern w:val="2"/>
          <w:lang w:eastAsia="ar-SA"/>
        </w:rPr>
      </w:pPr>
      <w:r w:rsidRPr="00ED36D0">
        <w:rPr>
          <w:b/>
          <w:bCs/>
          <w:kern w:val="2"/>
          <w:lang w:eastAsia="ar-SA"/>
        </w:rPr>
        <w:t>Требования к сроку и (или) объему предоставленных гарантий качества Товара</w:t>
      </w:r>
    </w:p>
    <w:p w:rsidR="009477BB" w:rsidRPr="00ED36D0" w:rsidRDefault="009477BB" w:rsidP="009477BB">
      <w:pPr>
        <w:ind w:firstLine="567"/>
        <w:rPr>
          <w:bCs/>
          <w:kern w:val="2"/>
          <w:lang w:eastAsia="ar-SA"/>
        </w:rPr>
      </w:pPr>
      <w:r w:rsidRPr="00ED36D0">
        <w:rPr>
          <w:bCs/>
          <w:kern w:val="2"/>
          <w:lang w:eastAsia="ar-SA"/>
        </w:rPr>
        <w:t xml:space="preserve">Специальные средства при нарушениях функций выделения должны соответствовать требованиям государственных стандартов. </w:t>
      </w:r>
    </w:p>
    <w:p w:rsidR="009477BB" w:rsidRPr="00ED36D0" w:rsidRDefault="009477BB" w:rsidP="009477BB">
      <w:pPr>
        <w:ind w:firstLine="567"/>
        <w:rPr>
          <w:bCs/>
          <w:kern w:val="2"/>
          <w:lang w:eastAsia="ar-SA"/>
        </w:rPr>
      </w:pPr>
      <w:r w:rsidRPr="00ED36D0">
        <w:rPr>
          <w:bCs/>
          <w:kern w:val="2"/>
          <w:lang w:eastAsia="ar-SA"/>
        </w:rPr>
        <w:t>Срок годности специальных средств при нарушениях функций выделения (средства для защиты кожи вокруг стомы) - должен быть не менее 12 месяцев с момента изготовления Товара.</w:t>
      </w:r>
    </w:p>
    <w:p w:rsidR="009477BB" w:rsidRPr="00ED36D0" w:rsidRDefault="009477BB" w:rsidP="009477BB">
      <w:pPr>
        <w:ind w:firstLine="567"/>
        <w:rPr>
          <w:bCs/>
          <w:kern w:val="2"/>
          <w:lang w:eastAsia="ar-SA"/>
        </w:rPr>
      </w:pPr>
      <w:r w:rsidRPr="00ED36D0">
        <w:rPr>
          <w:bCs/>
          <w:kern w:val="2"/>
          <w:lang w:eastAsia="ar-SA"/>
        </w:rPr>
        <w:t>Сроки пользования: Товар</w:t>
      </w:r>
      <w:r w:rsidR="004023CB">
        <w:rPr>
          <w:bCs/>
          <w:kern w:val="2"/>
          <w:lang w:eastAsia="ar-SA"/>
        </w:rPr>
        <w:t xml:space="preserve"> должен </w:t>
      </w:r>
      <w:r w:rsidRPr="00ED36D0">
        <w:rPr>
          <w:bCs/>
          <w:kern w:val="2"/>
          <w:lang w:eastAsia="ar-SA"/>
        </w:rPr>
        <w:t>имет</w:t>
      </w:r>
      <w:r w:rsidR="004023CB">
        <w:rPr>
          <w:bCs/>
          <w:kern w:val="2"/>
          <w:lang w:eastAsia="ar-SA"/>
        </w:rPr>
        <w:t>ь</w:t>
      </w:r>
      <w:r w:rsidRPr="00ED36D0">
        <w:rPr>
          <w:bCs/>
          <w:kern w:val="2"/>
          <w:lang w:eastAsia="ar-SA"/>
        </w:rPr>
        <w:t xml:space="preserve"> установленный производителем срок пользования, который со дня подписания Акта приема-передачи Товара Получателем, </w:t>
      </w:r>
      <w:r w:rsidR="004023CB">
        <w:rPr>
          <w:bCs/>
          <w:kern w:val="2"/>
          <w:lang w:eastAsia="ar-SA"/>
        </w:rPr>
        <w:t xml:space="preserve">должен быть не менее срока </w:t>
      </w:r>
      <w:r w:rsidRPr="00ED36D0">
        <w:rPr>
          <w:bCs/>
          <w:kern w:val="2"/>
          <w:lang w:eastAsia="ar-SA"/>
        </w:rPr>
        <w:t xml:space="preserve">пользования, утвержденного приказом Министерства труда и социальной защиты Российской </w:t>
      </w:r>
      <w:r w:rsidRPr="00ED36D0">
        <w:rPr>
          <w:bCs/>
          <w:kern w:val="2"/>
          <w:lang w:eastAsia="ar-SA"/>
        </w:rPr>
        <w:lastRenderedPageBreak/>
        <w:t>Федерации от 05 марта 2021 г. № 107н «Об утверждении сроков пользования техническими средствами реабилитации, протезами и протезно-ортопедическими изделиями».</w:t>
      </w:r>
    </w:p>
    <w:p w:rsidR="009477BB" w:rsidRPr="00ED36D0" w:rsidRDefault="009477BB" w:rsidP="009477BB">
      <w:pPr>
        <w:ind w:firstLine="567"/>
        <w:rPr>
          <w:bCs/>
          <w:kern w:val="2"/>
          <w:lang w:eastAsia="ar-SA"/>
        </w:rPr>
      </w:pPr>
      <w:r w:rsidRPr="00ED36D0">
        <w:rPr>
          <w:b/>
          <w:bCs/>
          <w:kern w:val="2"/>
          <w:lang w:eastAsia="ar-SA"/>
        </w:rPr>
        <w:t>Сроки поставки:</w:t>
      </w:r>
      <w:r w:rsidRPr="00ED36D0">
        <w:rPr>
          <w:bCs/>
          <w:kern w:val="2"/>
          <w:lang w:eastAsia="ar-SA"/>
        </w:rPr>
        <w:t xml:space="preserve"> В течение 10 (десяти) рабочих дней после заключения контракта на склад поставщика, расположенного на территории РСО-Алания, будет поставлено 100 (ста) % общего объема товара для возможности Заказчику провести проверку товара на соответствие количеству, комплектности, объему и качеству поставляемых товаров. Передать Товар непосредственно Получателю, на основании Направления в течение 30 (тридцати) календарных дней с момента получения направленных списков Получателей от заказчика при представлении им паспорта и Направления, выдаваемого Заказчиком, но не позднее 02 декабря 2024 года.</w:t>
      </w:r>
    </w:p>
    <w:p w:rsidR="009477BB" w:rsidRPr="00ED36D0" w:rsidRDefault="009477BB" w:rsidP="009477BB">
      <w:pPr>
        <w:ind w:firstLine="567"/>
        <w:rPr>
          <w:bCs/>
          <w:kern w:val="2"/>
          <w:lang w:eastAsia="ar-SA"/>
        </w:rPr>
      </w:pPr>
      <w:r w:rsidRPr="00ED36D0">
        <w:rPr>
          <w:b/>
          <w:bCs/>
          <w:kern w:val="2"/>
          <w:lang w:eastAsia="ar-SA"/>
        </w:rPr>
        <w:t>Место поставки:</w:t>
      </w:r>
      <w:r w:rsidRPr="00ED36D0">
        <w:rPr>
          <w:bCs/>
          <w:kern w:val="2"/>
          <w:lang w:eastAsia="ar-SA"/>
        </w:rPr>
        <w:t xml:space="preserve"> Российская Федерация, Республика Северная Осетия-Алания. Поставка осуществляется по месту нахождения Получателя или по месту нахождения пункта (пунктов) выдачи, организованных Поставщиком.</w:t>
      </w:r>
    </w:p>
    <w:p w:rsidR="00ED36D0" w:rsidRDefault="00ED36D0" w:rsidP="009477BB">
      <w:pPr>
        <w:ind w:firstLine="567"/>
        <w:rPr>
          <w:color w:val="000000" w:themeColor="text1"/>
        </w:rPr>
      </w:pPr>
    </w:p>
    <w:p w:rsidR="00C33823" w:rsidRPr="00ED36D0" w:rsidRDefault="00C33823" w:rsidP="009477BB">
      <w:pPr>
        <w:ind w:firstLine="567"/>
        <w:rPr>
          <w:color w:val="000000" w:themeColor="text1"/>
        </w:rPr>
      </w:pPr>
      <w:r w:rsidRPr="00ED36D0">
        <w:rPr>
          <w:color w:val="000000" w:themeColor="text1"/>
        </w:rPr>
        <w:t xml:space="preserve">Во исполнение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  </w:t>
      </w:r>
      <w:r w:rsidR="00863288" w:rsidRPr="00ED36D0">
        <w:rPr>
          <w:color w:val="000000" w:themeColor="text1"/>
        </w:rPr>
        <w:t xml:space="preserve">п. 5 и </w:t>
      </w:r>
      <w:r w:rsidRPr="00ED36D0">
        <w:rPr>
          <w:color w:val="000000" w:themeColor="text1"/>
        </w:rPr>
        <w:t>п. 6 Правил использования каталога товаров, работ, услуг для обеспечения государственных и муниципальных нужд (утв. постановлением Правительства РФ от 8 февраля 2017 г. N 145), Заказчиком при описании объекта закупки применены дополнительные функциональные, технические, качественные, эксплуатационные характеристики товара, работы, услуги, которые не предусмотрены в позиции каталога.</w:t>
      </w:r>
    </w:p>
    <w:p w:rsidR="00273703" w:rsidRPr="007A5FA8" w:rsidRDefault="00C33823" w:rsidP="007A5FA8">
      <w:pPr>
        <w:tabs>
          <w:tab w:val="left" w:pos="360"/>
          <w:tab w:val="left" w:pos="1080"/>
        </w:tabs>
        <w:ind w:firstLine="720"/>
      </w:pPr>
      <w:r w:rsidRPr="006838FD">
        <w:rPr>
          <w:color w:val="000000" w:themeColor="text1"/>
        </w:rPr>
        <w:t>В связи с чем, заказчик, руководствуясь частью 2 статьи 33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использовал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на основе анализа технических и качественных характеристик, имеющихся на рынке РФ, исходя из потребностей Заказчика, определенных на основании предоставленных</w:t>
      </w:r>
      <w:r w:rsidRPr="007A5FA8">
        <w:rPr>
          <w:color w:val="000000" w:themeColor="text1"/>
        </w:rPr>
        <w:t xml:space="preserve"> </w:t>
      </w:r>
      <w:r w:rsidR="001F4A31" w:rsidRPr="007A5FA8">
        <w:rPr>
          <w:color w:val="000000" w:themeColor="text1"/>
        </w:rPr>
        <w:t xml:space="preserve">получателями </w:t>
      </w:r>
      <w:r w:rsidRPr="007A5FA8">
        <w:rPr>
          <w:color w:val="000000" w:themeColor="text1"/>
        </w:rPr>
        <w:t xml:space="preserve"> индивидуальных программ реабилитации.</w:t>
      </w:r>
    </w:p>
    <w:sectPr w:rsidR="00273703" w:rsidRPr="007A5FA8" w:rsidSect="00863288">
      <w:pgSz w:w="11906" w:h="16838"/>
      <w:pgMar w:top="709" w:right="424"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1FB" w:rsidRDefault="000711FB" w:rsidP="00273703">
      <w:r>
        <w:separator/>
      </w:r>
    </w:p>
  </w:endnote>
  <w:endnote w:type="continuationSeparator" w:id="0">
    <w:p w:rsidR="000711FB" w:rsidRDefault="000711FB" w:rsidP="0027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1FB" w:rsidRDefault="000711FB" w:rsidP="00273703">
      <w:r>
        <w:separator/>
      </w:r>
    </w:p>
  </w:footnote>
  <w:footnote w:type="continuationSeparator" w:id="0">
    <w:p w:rsidR="000711FB" w:rsidRDefault="000711FB" w:rsidP="002737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317C02"/>
    <w:multiLevelType w:val="hybridMultilevel"/>
    <w:tmpl w:val="42BEE82E"/>
    <w:lvl w:ilvl="0" w:tplc="7C8C8C9E">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03"/>
    <w:rsid w:val="00013304"/>
    <w:rsid w:val="00026BEB"/>
    <w:rsid w:val="00040271"/>
    <w:rsid w:val="00066406"/>
    <w:rsid w:val="000711FB"/>
    <w:rsid w:val="000844A3"/>
    <w:rsid w:val="000A60A7"/>
    <w:rsid w:val="0011423B"/>
    <w:rsid w:val="00130800"/>
    <w:rsid w:val="00131EC9"/>
    <w:rsid w:val="00133A90"/>
    <w:rsid w:val="00196166"/>
    <w:rsid w:val="00196DFF"/>
    <w:rsid w:val="001B3621"/>
    <w:rsid w:val="001E7E1A"/>
    <w:rsid w:val="001F4A31"/>
    <w:rsid w:val="001F65E9"/>
    <w:rsid w:val="002419B1"/>
    <w:rsid w:val="00241C11"/>
    <w:rsid w:val="002717BF"/>
    <w:rsid w:val="00272B79"/>
    <w:rsid w:val="00273703"/>
    <w:rsid w:val="002A59BE"/>
    <w:rsid w:val="002D0473"/>
    <w:rsid w:val="002E4703"/>
    <w:rsid w:val="00304F8B"/>
    <w:rsid w:val="00311831"/>
    <w:rsid w:val="003275DA"/>
    <w:rsid w:val="00356BD9"/>
    <w:rsid w:val="003742F6"/>
    <w:rsid w:val="00380600"/>
    <w:rsid w:val="003A11A1"/>
    <w:rsid w:val="003A71C3"/>
    <w:rsid w:val="003E516D"/>
    <w:rsid w:val="004023CB"/>
    <w:rsid w:val="0043532F"/>
    <w:rsid w:val="0047383B"/>
    <w:rsid w:val="00473986"/>
    <w:rsid w:val="00492202"/>
    <w:rsid w:val="004C2BCA"/>
    <w:rsid w:val="004F7201"/>
    <w:rsid w:val="005003A4"/>
    <w:rsid w:val="00521949"/>
    <w:rsid w:val="00524869"/>
    <w:rsid w:val="00545A61"/>
    <w:rsid w:val="005B1575"/>
    <w:rsid w:val="005E20B7"/>
    <w:rsid w:val="00602FDB"/>
    <w:rsid w:val="006110B4"/>
    <w:rsid w:val="00615F5B"/>
    <w:rsid w:val="00623566"/>
    <w:rsid w:val="006306C1"/>
    <w:rsid w:val="00640ED0"/>
    <w:rsid w:val="0064728B"/>
    <w:rsid w:val="006838FD"/>
    <w:rsid w:val="00683950"/>
    <w:rsid w:val="00697956"/>
    <w:rsid w:val="007058AA"/>
    <w:rsid w:val="00720BD3"/>
    <w:rsid w:val="0072599D"/>
    <w:rsid w:val="00726DED"/>
    <w:rsid w:val="00777487"/>
    <w:rsid w:val="007A428B"/>
    <w:rsid w:val="007A5FA8"/>
    <w:rsid w:val="007E3578"/>
    <w:rsid w:val="007F1DB6"/>
    <w:rsid w:val="00811B6A"/>
    <w:rsid w:val="008360D9"/>
    <w:rsid w:val="00847BA6"/>
    <w:rsid w:val="00855E44"/>
    <w:rsid w:val="00863288"/>
    <w:rsid w:val="008B0FB1"/>
    <w:rsid w:val="008B147B"/>
    <w:rsid w:val="008E1CAA"/>
    <w:rsid w:val="008F1B2F"/>
    <w:rsid w:val="008F69C4"/>
    <w:rsid w:val="00937E38"/>
    <w:rsid w:val="00944C0C"/>
    <w:rsid w:val="009457A7"/>
    <w:rsid w:val="009477BB"/>
    <w:rsid w:val="009511F5"/>
    <w:rsid w:val="00960D99"/>
    <w:rsid w:val="00973FB6"/>
    <w:rsid w:val="00981EAE"/>
    <w:rsid w:val="00985B59"/>
    <w:rsid w:val="00985C7C"/>
    <w:rsid w:val="009A5516"/>
    <w:rsid w:val="009A59E2"/>
    <w:rsid w:val="009B2E63"/>
    <w:rsid w:val="009C1023"/>
    <w:rsid w:val="009D12E9"/>
    <w:rsid w:val="009E1699"/>
    <w:rsid w:val="009E6C07"/>
    <w:rsid w:val="009F17FA"/>
    <w:rsid w:val="009F5667"/>
    <w:rsid w:val="009F705F"/>
    <w:rsid w:val="00A16C18"/>
    <w:rsid w:val="00A170AB"/>
    <w:rsid w:val="00A428A8"/>
    <w:rsid w:val="00AB338A"/>
    <w:rsid w:val="00AB7BBA"/>
    <w:rsid w:val="00AC31E7"/>
    <w:rsid w:val="00AF0211"/>
    <w:rsid w:val="00B32DAD"/>
    <w:rsid w:val="00B4098F"/>
    <w:rsid w:val="00B51411"/>
    <w:rsid w:val="00B73884"/>
    <w:rsid w:val="00BB2638"/>
    <w:rsid w:val="00BB7219"/>
    <w:rsid w:val="00BD29C6"/>
    <w:rsid w:val="00C14C6E"/>
    <w:rsid w:val="00C246AF"/>
    <w:rsid w:val="00C33823"/>
    <w:rsid w:val="00C61890"/>
    <w:rsid w:val="00C71DA9"/>
    <w:rsid w:val="00C82CB8"/>
    <w:rsid w:val="00C96049"/>
    <w:rsid w:val="00CA332D"/>
    <w:rsid w:val="00CE4432"/>
    <w:rsid w:val="00CE5166"/>
    <w:rsid w:val="00CF2049"/>
    <w:rsid w:val="00CF2AE7"/>
    <w:rsid w:val="00D15961"/>
    <w:rsid w:val="00D24151"/>
    <w:rsid w:val="00D268BD"/>
    <w:rsid w:val="00D47DEC"/>
    <w:rsid w:val="00D625BF"/>
    <w:rsid w:val="00D6697B"/>
    <w:rsid w:val="00D758E1"/>
    <w:rsid w:val="00D84451"/>
    <w:rsid w:val="00DA23FB"/>
    <w:rsid w:val="00DB1A47"/>
    <w:rsid w:val="00DC0282"/>
    <w:rsid w:val="00DC7CC0"/>
    <w:rsid w:val="00DD59F0"/>
    <w:rsid w:val="00DE0096"/>
    <w:rsid w:val="00E07BD4"/>
    <w:rsid w:val="00E143EA"/>
    <w:rsid w:val="00E20082"/>
    <w:rsid w:val="00E2451F"/>
    <w:rsid w:val="00E404C3"/>
    <w:rsid w:val="00E433B9"/>
    <w:rsid w:val="00E741F1"/>
    <w:rsid w:val="00EA29B3"/>
    <w:rsid w:val="00EA661A"/>
    <w:rsid w:val="00EB50F1"/>
    <w:rsid w:val="00EC2662"/>
    <w:rsid w:val="00ED36D0"/>
    <w:rsid w:val="00ED7A7E"/>
    <w:rsid w:val="00F129DA"/>
    <w:rsid w:val="00F4192E"/>
    <w:rsid w:val="00F60C5D"/>
    <w:rsid w:val="00F6769E"/>
    <w:rsid w:val="00F7108D"/>
    <w:rsid w:val="00F722FB"/>
    <w:rsid w:val="00FB6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62B97-806A-4593-9FE3-FE2C9A99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70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Знак16"/>
    <w:basedOn w:val="a"/>
    <w:link w:val="a4"/>
    <w:uiPriority w:val="99"/>
    <w:rsid w:val="00273703"/>
    <w:pPr>
      <w:jc w:val="left"/>
    </w:pPr>
    <w:rPr>
      <w:sz w:val="20"/>
      <w:szCs w:val="20"/>
    </w:rPr>
  </w:style>
  <w:style w:type="character" w:customStyle="1" w:styleId="a4">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3"/>
    <w:uiPriority w:val="99"/>
    <w:rsid w:val="00273703"/>
    <w:rPr>
      <w:rFonts w:ascii="Times New Roman" w:eastAsia="Times New Roman" w:hAnsi="Times New Roman" w:cs="Times New Roman"/>
      <w:sz w:val="20"/>
      <w:szCs w:val="20"/>
      <w:lang w:eastAsia="ru-RU"/>
    </w:rPr>
  </w:style>
  <w:style w:type="character" w:styleId="a5">
    <w:name w:val="footnote reference"/>
    <w:aliases w:val="Ссылка на сноску 45"/>
    <w:uiPriority w:val="99"/>
    <w:rsid w:val="00273703"/>
    <w:rPr>
      <w:vertAlign w:val="superscript"/>
    </w:rPr>
  </w:style>
  <w:style w:type="table" w:styleId="a6">
    <w:name w:val="Table Grid"/>
    <w:basedOn w:val="a1"/>
    <w:uiPriority w:val="59"/>
    <w:rsid w:val="00E741F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E741F1"/>
    <w:pPr>
      <w:spacing w:after="120"/>
    </w:pPr>
  </w:style>
  <w:style w:type="character" w:customStyle="1" w:styleId="a8">
    <w:name w:val="Основной текст Знак"/>
    <w:basedOn w:val="a0"/>
    <w:link w:val="a7"/>
    <w:rsid w:val="00E741F1"/>
    <w:rPr>
      <w:rFonts w:ascii="Times New Roman" w:eastAsia="Times New Roman" w:hAnsi="Times New Roman" w:cs="Times New Roman"/>
      <w:sz w:val="24"/>
      <w:szCs w:val="24"/>
      <w:lang w:eastAsia="ru-RU"/>
    </w:rPr>
  </w:style>
  <w:style w:type="paragraph" w:styleId="a9">
    <w:name w:val="Normal (Web)"/>
    <w:basedOn w:val="a"/>
    <w:uiPriority w:val="99"/>
    <w:rsid w:val="00AB338A"/>
    <w:pPr>
      <w:spacing w:before="100" w:beforeAutospacing="1" w:after="119"/>
      <w:jc w:val="left"/>
    </w:pPr>
  </w:style>
  <w:style w:type="paragraph" w:styleId="3">
    <w:name w:val="Body Text 3"/>
    <w:basedOn w:val="a"/>
    <w:link w:val="30"/>
    <w:unhideWhenUsed/>
    <w:rsid w:val="00811B6A"/>
    <w:pPr>
      <w:spacing w:after="120"/>
      <w:jc w:val="left"/>
    </w:pPr>
    <w:rPr>
      <w:sz w:val="16"/>
      <w:szCs w:val="16"/>
      <w:lang w:val="x-none" w:eastAsia="x-none"/>
    </w:rPr>
  </w:style>
  <w:style w:type="character" w:customStyle="1" w:styleId="30">
    <w:name w:val="Основной текст 3 Знак"/>
    <w:basedOn w:val="a0"/>
    <w:link w:val="3"/>
    <w:rsid w:val="00811B6A"/>
    <w:rPr>
      <w:rFonts w:ascii="Times New Roman" w:eastAsia="Times New Roman" w:hAnsi="Times New Roman" w:cs="Times New Roman"/>
      <w:sz w:val="16"/>
      <w:szCs w:val="16"/>
      <w:lang w:val="x-none" w:eastAsia="x-none"/>
    </w:rPr>
  </w:style>
  <w:style w:type="paragraph" w:customStyle="1" w:styleId="formattext">
    <w:name w:val="formattext"/>
    <w:basedOn w:val="a"/>
    <w:rsid w:val="00847BA6"/>
    <w:pPr>
      <w:spacing w:before="100" w:beforeAutospacing="1" w:after="100" w:afterAutospacing="1"/>
      <w:jc w:val="left"/>
    </w:pPr>
  </w:style>
  <w:style w:type="paragraph" w:customStyle="1" w:styleId="aa">
    <w:name w:val="Заголовок"/>
    <w:basedOn w:val="a"/>
    <w:next w:val="a7"/>
    <w:rsid w:val="00847BA6"/>
    <w:pPr>
      <w:keepNext/>
      <w:suppressAutoHyphens/>
      <w:spacing w:before="240" w:after="120"/>
      <w:jc w:val="left"/>
    </w:pPr>
    <w:rPr>
      <w:rFonts w:ascii="Arial" w:eastAsia="MS Mincho" w:hAnsi="Arial" w:cs="Tahoma"/>
      <w:sz w:val="28"/>
      <w:szCs w:val="28"/>
      <w:lang w:eastAsia="ar-SA"/>
    </w:rPr>
  </w:style>
  <w:style w:type="paragraph" w:styleId="ab">
    <w:name w:val="Title"/>
    <w:basedOn w:val="a"/>
    <w:next w:val="ac"/>
    <w:link w:val="ad"/>
    <w:qFormat/>
    <w:rsid w:val="00B51411"/>
    <w:pPr>
      <w:suppressAutoHyphens/>
      <w:jc w:val="center"/>
    </w:pPr>
    <w:rPr>
      <w:b/>
      <w:bCs/>
      <w:sz w:val="36"/>
      <w:lang w:eastAsia="ar-SA"/>
    </w:rPr>
  </w:style>
  <w:style w:type="character" w:customStyle="1" w:styleId="ad">
    <w:name w:val="Название Знак"/>
    <w:basedOn w:val="a0"/>
    <w:link w:val="ab"/>
    <w:rsid w:val="00B51411"/>
    <w:rPr>
      <w:rFonts w:ascii="Times New Roman" w:eastAsia="Times New Roman" w:hAnsi="Times New Roman" w:cs="Times New Roman"/>
      <w:b/>
      <w:bCs/>
      <w:sz w:val="36"/>
      <w:szCs w:val="24"/>
      <w:lang w:eastAsia="ar-SA"/>
    </w:rPr>
  </w:style>
  <w:style w:type="paragraph" w:styleId="ac">
    <w:name w:val="Subtitle"/>
    <w:basedOn w:val="a"/>
    <w:next w:val="a"/>
    <w:link w:val="ae"/>
    <w:uiPriority w:val="11"/>
    <w:qFormat/>
    <w:rsid w:val="00B514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e">
    <w:name w:val="Подзаголовок Знак"/>
    <w:basedOn w:val="a0"/>
    <w:link w:val="ac"/>
    <w:uiPriority w:val="11"/>
    <w:rsid w:val="00B51411"/>
    <w:rPr>
      <w:rFonts w:eastAsiaTheme="minorEastAsia"/>
      <w:color w:val="5A5A5A" w:themeColor="text1" w:themeTint="A5"/>
      <w:spacing w:val="15"/>
      <w:lang w:eastAsia="ru-RU"/>
    </w:rPr>
  </w:style>
  <w:style w:type="character" w:customStyle="1" w:styleId="FontStyle25">
    <w:name w:val="Font Style25"/>
    <w:rsid w:val="00B51411"/>
    <w:rPr>
      <w:rFonts w:ascii="Times New Roman" w:hAnsi="Times New Roman" w:cs="Times New Roman"/>
      <w:sz w:val="18"/>
      <w:szCs w:val="18"/>
    </w:rPr>
  </w:style>
  <w:style w:type="paragraph" w:customStyle="1" w:styleId="Textbody">
    <w:name w:val="Text body"/>
    <w:basedOn w:val="a"/>
    <w:rsid w:val="007A428B"/>
    <w:pPr>
      <w:suppressAutoHyphens/>
      <w:autoSpaceDN w:val="0"/>
      <w:jc w:val="left"/>
      <w:textAlignment w:val="baseline"/>
    </w:pPr>
    <w:rPr>
      <w:kern w:val="3"/>
      <w:sz w:val="28"/>
      <w:szCs w:val="20"/>
    </w:rPr>
  </w:style>
  <w:style w:type="paragraph" w:styleId="af">
    <w:name w:val="Balloon Text"/>
    <w:basedOn w:val="a"/>
    <w:link w:val="af0"/>
    <w:uiPriority w:val="99"/>
    <w:semiHidden/>
    <w:unhideWhenUsed/>
    <w:rsid w:val="00EB50F1"/>
    <w:rPr>
      <w:rFonts w:ascii="Segoe UI" w:hAnsi="Segoe UI" w:cs="Segoe UI"/>
      <w:sz w:val="18"/>
      <w:szCs w:val="18"/>
    </w:rPr>
  </w:style>
  <w:style w:type="character" w:customStyle="1" w:styleId="af0">
    <w:name w:val="Текст выноски Знак"/>
    <w:basedOn w:val="a0"/>
    <w:link w:val="af"/>
    <w:uiPriority w:val="99"/>
    <w:semiHidden/>
    <w:rsid w:val="00EB50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5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3</Pages>
  <Words>1304</Words>
  <Characters>7439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Фидарова Виктория Фридриховна</dc:creator>
  <cp:keywords/>
  <dc:description/>
  <cp:lastModifiedBy>Касабиева Эльмира Эльбрусовна</cp:lastModifiedBy>
  <cp:revision>24</cp:revision>
  <cp:lastPrinted>2024-10-17T08:26:00Z</cp:lastPrinted>
  <dcterms:created xsi:type="dcterms:W3CDTF">2023-05-30T12:40:00Z</dcterms:created>
  <dcterms:modified xsi:type="dcterms:W3CDTF">2024-10-17T09:07:00Z</dcterms:modified>
</cp:coreProperties>
</file>